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79185E6D" w:rsidR="00421E32" w:rsidRPr="00825285" w:rsidRDefault="005F009C" w:rsidP="000F282C">
      <w:pPr>
        <w:pStyle w:val="Heading1"/>
        <w:spacing w:before="3000"/>
      </w:pPr>
      <w:bookmarkStart w:id="0" w:name="_Toc374271003"/>
      <w:r w:rsidRPr="00825285">
        <w:t xml:space="preserve">REQUEST FOR </w:t>
      </w:r>
      <w:r w:rsidR="0045477B" w:rsidRPr="00825285">
        <w:t>PROPOSAL</w:t>
      </w:r>
      <w:r w:rsidR="00644ED3" w:rsidRPr="00825285">
        <w:br/>
        <w:t>EVALUATION CRITERIA AND METHOD</w:t>
      </w:r>
      <w:bookmarkEnd w:id="0"/>
      <w:r w:rsidR="00825285" w:rsidRPr="00825285">
        <w:br/>
        <w:t>CONSULTING SERVICES</w:t>
      </w:r>
    </w:p>
    <w:p w14:paraId="412360ED" w14:textId="5EAFE929" w:rsidR="00FE71B8" w:rsidRPr="00825285" w:rsidRDefault="00CF7D02" w:rsidP="00825285">
      <w:pPr>
        <w:pStyle w:val="Heading2"/>
        <w:tabs>
          <w:tab w:val="left" w:pos="2835"/>
        </w:tabs>
        <w:spacing w:before="1200"/>
        <w:ind w:left="2835" w:hanging="2835"/>
        <w:jc w:val="center"/>
        <w:rPr>
          <w:sz w:val="24"/>
          <w:szCs w:val="24"/>
          <w:lang w:eastAsia="ko-KR"/>
        </w:rPr>
      </w:pPr>
      <w:bookmarkStart w:id="1" w:name="_Ref371928515"/>
      <w:bookmarkStart w:id="2" w:name="_Ref374243803"/>
      <w:bookmarkStart w:id="3" w:name="_Toc374271004"/>
      <w:r w:rsidRPr="00825285">
        <w:rPr>
          <w:sz w:val="24"/>
          <w:szCs w:val="24"/>
        </w:rPr>
        <w:t>Procurement</w:t>
      </w:r>
      <w:r w:rsidR="0056101E" w:rsidRPr="00825285">
        <w:rPr>
          <w:sz w:val="24"/>
          <w:szCs w:val="24"/>
        </w:rPr>
        <w:t xml:space="preserve"> </w:t>
      </w:r>
      <w:r w:rsidR="00E05656" w:rsidRPr="00825285">
        <w:rPr>
          <w:sz w:val="24"/>
          <w:szCs w:val="24"/>
        </w:rPr>
        <w:t>No</w:t>
      </w:r>
      <w:r w:rsidR="00FE71B8" w:rsidRPr="00825285">
        <w:rPr>
          <w:sz w:val="24"/>
          <w:szCs w:val="24"/>
        </w:rPr>
        <w:t>:</w:t>
      </w:r>
      <w:r w:rsidR="00264C2E">
        <w:rPr>
          <w:sz w:val="24"/>
          <w:szCs w:val="24"/>
        </w:rPr>
        <w:t xml:space="preserve"> </w:t>
      </w:r>
      <w:r w:rsidR="00264C2E" w:rsidRPr="00264C2E">
        <w:rPr>
          <w:sz w:val="24"/>
          <w:szCs w:val="24"/>
          <w:lang w:val="en-US"/>
        </w:rPr>
        <w:t>47-CS001-26</w:t>
      </w:r>
      <w:r w:rsidR="00993409" w:rsidRPr="00825285">
        <w:rPr>
          <w:sz w:val="24"/>
          <w:szCs w:val="24"/>
        </w:rPr>
        <w:tab/>
      </w:r>
      <w:bookmarkEnd w:id="1"/>
      <w:bookmarkEnd w:id="2"/>
      <w:bookmarkEnd w:id="3"/>
    </w:p>
    <w:p w14:paraId="7DE98D9E" w14:textId="5488301E" w:rsidR="008857C5" w:rsidRPr="00825285" w:rsidRDefault="008857C5">
      <w:pPr>
        <w:rPr>
          <w:rFonts w:ascii="Calibri" w:hAnsi="Calibri" w:cs="Calibri"/>
          <w:b/>
          <w:lang w:val="en-GB" w:eastAsia="ko-KR"/>
        </w:rPr>
      </w:pPr>
      <w:r w:rsidRPr="00825285">
        <w:rPr>
          <w:rFonts w:ascii="Calibri" w:hAnsi="Calibri" w:cs="Calibri"/>
          <w:b/>
          <w:lang w:val="en-GB" w:eastAsia="ko-KR"/>
        </w:rPr>
        <w:br w:type="page"/>
      </w:r>
    </w:p>
    <w:p w14:paraId="5643D6B0" w14:textId="7C9E1EDD" w:rsidR="00DB666D" w:rsidRPr="00825285" w:rsidRDefault="00E01B28" w:rsidP="00ED3FDE">
      <w:pPr>
        <w:pStyle w:val="Heading2"/>
        <w:spacing w:before="600"/>
        <w:jc w:val="center"/>
        <w:rPr>
          <w:rFonts w:cs="Calibri"/>
          <w:sz w:val="28"/>
          <w:szCs w:val="28"/>
          <w:lang w:eastAsia="ko-KR"/>
        </w:rPr>
      </w:pPr>
      <w:bookmarkStart w:id="4" w:name="_Toc374271005"/>
      <w:r w:rsidRPr="00825285">
        <w:rPr>
          <w:rFonts w:cs="Calibri"/>
          <w:sz w:val="28"/>
          <w:szCs w:val="28"/>
          <w:lang w:eastAsia="ko-KR"/>
        </w:rPr>
        <w:lastRenderedPageBreak/>
        <w:t>E</w:t>
      </w:r>
      <w:r w:rsidR="00DB666D" w:rsidRPr="00825285">
        <w:rPr>
          <w:rFonts w:cs="Calibri"/>
          <w:sz w:val="28"/>
          <w:szCs w:val="28"/>
          <w:lang w:eastAsia="ko-KR"/>
        </w:rPr>
        <w:t>valuation</w:t>
      </w:r>
      <w:r w:rsidR="00644ED3" w:rsidRPr="00825285">
        <w:rPr>
          <w:rFonts w:cs="Calibri"/>
          <w:sz w:val="28"/>
          <w:szCs w:val="28"/>
          <w:lang w:eastAsia="ko-KR"/>
        </w:rPr>
        <w:t xml:space="preserve"> criteria and method</w:t>
      </w:r>
      <w:bookmarkEnd w:id="4"/>
    </w:p>
    <w:p w14:paraId="7C6F95A9" w14:textId="5D587CB5" w:rsidR="00757D9C" w:rsidRPr="00825285" w:rsidRDefault="003849E8" w:rsidP="003849E8">
      <w:pPr>
        <w:spacing w:before="120"/>
        <w:jc w:val="both"/>
        <w:rPr>
          <w:rFonts w:ascii="Calibri" w:hAnsi="Calibri" w:cs="Calibri"/>
          <w:lang w:val="en-GB"/>
        </w:rPr>
      </w:pPr>
      <w:r w:rsidRPr="00825285">
        <w:rPr>
          <w:rFonts w:ascii="Calibri" w:hAnsi="Calibri" w:cs="Calibri"/>
          <w:lang w:val="en-GB"/>
        </w:rPr>
        <w:t xml:space="preserve">From the last time and date of submission of the </w:t>
      </w:r>
      <w:r w:rsidR="001B10ED" w:rsidRPr="00825285">
        <w:rPr>
          <w:rFonts w:ascii="Calibri" w:hAnsi="Calibri" w:cs="Calibri"/>
          <w:lang w:val="en-GB"/>
        </w:rPr>
        <w:t>Tender</w:t>
      </w:r>
      <w:r w:rsidRPr="00825285">
        <w:rPr>
          <w:rFonts w:ascii="Calibri" w:hAnsi="Calibri" w:cs="Calibri"/>
          <w:lang w:val="en-GB"/>
        </w:rPr>
        <w:t xml:space="preserve">s to the time the Contract is awarded, if any Tenderer wishes to contact the </w:t>
      </w:r>
      <w:r w:rsidR="000A3AA5" w:rsidRPr="00825285">
        <w:rPr>
          <w:rFonts w:ascii="Calibri" w:hAnsi="Calibri" w:cs="Calibri"/>
          <w:lang w:val="en-GB"/>
        </w:rPr>
        <w:t>Buyer</w:t>
      </w:r>
      <w:r w:rsidRPr="00825285">
        <w:rPr>
          <w:rFonts w:ascii="Calibri" w:hAnsi="Calibri" w:cs="Calibri"/>
          <w:lang w:val="en-GB"/>
        </w:rPr>
        <w:t xml:space="preserve"> on any matter related to its </w:t>
      </w:r>
      <w:r w:rsidR="001B10ED" w:rsidRPr="00825285">
        <w:rPr>
          <w:rFonts w:ascii="Calibri" w:hAnsi="Calibri" w:cs="Calibri"/>
          <w:lang w:val="en-GB"/>
        </w:rPr>
        <w:t>Tender</w:t>
      </w:r>
      <w:r w:rsidR="00DB666D" w:rsidRPr="00825285">
        <w:rPr>
          <w:rFonts w:ascii="Calibri" w:hAnsi="Calibri" w:cs="Calibri"/>
          <w:lang w:val="en-GB"/>
        </w:rPr>
        <w:t xml:space="preserve">, it should do so </w:t>
      </w:r>
      <w:r w:rsidR="00892D28" w:rsidRPr="00825285">
        <w:rPr>
          <w:rFonts w:ascii="Calibri" w:hAnsi="Calibri" w:cs="Calibri"/>
          <w:lang w:val="en-GB"/>
        </w:rPr>
        <w:t>via email to the</w:t>
      </w:r>
      <w:r w:rsidR="008B7A4C" w:rsidRPr="00825285">
        <w:rPr>
          <w:rFonts w:ascii="Calibri" w:hAnsi="Calibri" w:cs="Calibri"/>
          <w:lang w:val="en-GB"/>
        </w:rPr>
        <w:t xml:space="preserve"> </w:t>
      </w:r>
      <w:r w:rsidR="00FB2573" w:rsidRPr="00825285">
        <w:rPr>
          <w:rFonts w:ascii="Calibri" w:hAnsi="Calibri" w:cs="Calibri"/>
          <w:lang w:val="en-GB"/>
        </w:rPr>
        <w:t>official email address</w:t>
      </w:r>
      <w:r w:rsidR="000876EF" w:rsidRPr="00825285">
        <w:rPr>
          <w:rFonts w:ascii="Calibri" w:hAnsi="Calibri" w:cs="Calibri"/>
          <w:lang w:val="en-GB"/>
        </w:rPr>
        <w:t>.</w:t>
      </w:r>
    </w:p>
    <w:p w14:paraId="71F1D302" w14:textId="52742C56" w:rsidR="003C7C6D" w:rsidRPr="00825285" w:rsidRDefault="003C7C6D" w:rsidP="003C7C6D">
      <w:pPr>
        <w:spacing w:before="120"/>
        <w:jc w:val="both"/>
        <w:rPr>
          <w:rFonts w:ascii="Calibri" w:hAnsi="Calibri" w:cs="Calibri"/>
          <w:lang w:val="en-GB"/>
        </w:rPr>
      </w:pPr>
      <w:r w:rsidRPr="00825285">
        <w:rPr>
          <w:rFonts w:ascii="Calibri" w:hAnsi="Calibri" w:cs="Calibri"/>
          <w:lang w:val="en-GB"/>
        </w:rPr>
        <w:t xml:space="preserve">Tenders will not be opened by the Buyer until after the deadline for submission of </w:t>
      </w:r>
      <w:r w:rsidR="001B10ED" w:rsidRPr="00825285">
        <w:rPr>
          <w:rFonts w:ascii="Calibri" w:hAnsi="Calibri" w:cs="Calibri"/>
          <w:lang w:val="en-GB"/>
        </w:rPr>
        <w:t>Tender</w:t>
      </w:r>
      <w:r w:rsidRPr="00825285">
        <w:rPr>
          <w:rFonts w:ascii="Calibri" w:hAnsi="Calibri" w:cs="Calibri"/>
          <w:lang w:val="en-GB"/>
        </w:rPr>
        <w:t xml:space="preserve">s. In case of separate submissions of a Technical and Financial </w:t>
      </w:r>
      <w:r w:rsidR="001B10ED" w:rsidRPr="00825285">
        <w:rPr>
          <w:rFonts w:ascii="Calibri" w:hAnsi="Calibri" w:cs="Calibri"/>
          <w:lang w:val="en-GB"/>
        </w:rPr>
        <w:t>component</w:t>
      </w:r>
      <w:r w:rsidRPr="00825285">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5" w:name="_Hlk11241264"/>
      <w:r w:rsidRPr="00825285">
        <w:rPr>
          <w:rFonts w:ascii="Calibri" w:hAnsi="Calibri" w:cs="Calibri"/>
          <w:lang w:val="en-GB"/>
        </w:rPr>
        <w:t>Evaluation</w:t>
      </w:r>
      <w:bookmarkEnd w:id="5"/>
      <w:r w:rsidRPr="00825285">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6538E8D6" w14:textId="77777777" w:rsidR="003C7C6D" w:rsidRPr="00825285" w:rsidRDefault="003C7C6D" w:rsidP="003C7C6D">
      <w:pPr>
        <w:spacing w:before="120"/>
        <w:jc w:val="both"/>
        <w:rPr>
          <w:rFonts w:ascii="Calibri" w:hAnsi="Calibri" w:cs="Calibri"/>
          <w:lang w:val="en-GB"/>
        </w:rPr>
      </w:pPr>
      <w:r w:rsidRPr="00825285">
        <w:rPr>
          <w:rFonts w:ascii="Calibri" w:hAnsi="Calibri" w:cs="Calibri"/>
          <w:lang w:val="en-GB"/>
        </w:rPr>
        <w:t>In case Tenders are allowed to be in one submission, only, the above will apply, except for the separate openings.</w:t>
      </w:r>
    </w:p>
    <w:p w14:paraId="53495659" w14:textId="77777777" w:rsidR="003C7C6D" w:rsidRPr="00825285" w:rsidRDefault="003C7C6D" w:rsidP="003C7C6D">
      <w:pPr>
        <w:spacing w:before="120"/>
        <w:jc w:val="both"/>
        <w:rPr>
          <w:rFonts w:ascii="Calibri" w:hAnsi="Calibri" w:cs="Calibri"/>
          <w:lang w:val="en-GB"/>
        </w:rPr>
      </w:pPr>
      <w:r w:rsidRPr="00825285">
        <w:rPr>
          <w:rFonts w:ascii="Calibri" w:hAnsi="Calibri" w:cs="Calibri"/>
          <w:lang w:val="en-GB"/>
        </w:rPr>
        <w:t xml:space="preserve">Selection will be based on the following process. The total possible score for the Technical component is maximum 100 points. </w:t>
      </w:r>
      <w:bookmarkStart w:id="6" w:name="Technical"/>
      <w:r w:rsidRPr="00825285">
        <w:rPr>
          <w:rFonts w:ascii="Calibri" w:hAnsi="Calibri" w:cs="Calibri"/>
          <w:highlight w:val="yellow"/>
          <w:lang w:val="en-GB"/>
        </w:rPr>
        <w:t>70</w:t>
      </w:r>
      <w:r w:rsidRPr="00825285">
        <w:rPr>
          <w:rFonts w:ascii="Calibri" w:hAnsi="Calibri" w:cs="Calibri"/>
          <w:lang w:val="en-GB"/>
        </w:rPr>
        <w:t xml:space="preserve"> %</w:t>
      </w:r>
      <w:bookmarkEnd w:id="6"/>
      <w:r w:rsidRPr="00825285">
        <w:rPr>
          <w:rFonts w:ascii="Calibri" w:hAnsi="Calibri" w:cs="Calibri"/>
          <w:lang w:val="en-GB"/>
        </w:rPr>
        <w:t xml:space="preserve"> of the score received in the technical evaluation will be added to the obtained financial score, which is maximum </w:t>
      </w:r>
      <w:bookmarkStart w:id="7" w:name="Financial"/>
      <w:r w:rsidRPr="00825285">
        <w:rPr>
          <w:rFonts w:ascii="Calibri" w:hAnsi="Calibri" w:cs="Calibri"/>
          <w:highlight w:val="yellow"/>
          <w:lang w:val="en-GB"/>
        </w:rPr>
        <w:t>30</w:t>
      </w:r>
      <w:r w:rsidRPr="00825285">
        <w:rPr>
          <w:rFonts w:ascii="Calibri" w:hAnsi="Calibri" w:cs="Calibri"/>
          <w:lang w:val="en-GB"/>
        </w:rPr>
        <w:t xml:space="preserve"> points</w:t>
      </w:r>
      <w:bookmarkEnd w:id="7"/>
      <w:r w:rsidRPr="00825285">
        <w:rPr>
          <w:rFonts w:ascii="Calibri" w:hAnsi="Calibri" w:cs="Calibri"/>
          <w:lang w:val="en-GB"/>
        </w:rPr>
        <w:t>, and calculated as described below.</w:t>
      </w:r>
    </w:p>
    <w:p w14:paraId="4E6E8BC8" w14:textId="77777777" w:rsidR="006D0A73" w:rsidRDefault="006D0A73" w:rsidP="003C7C6D">
      <w:pPr>
        <w:spacing w:before="120"/>
        <w:jc w:val="both"/>
        <w:rPr>
          <w:rFonts w:ascii="Calibri" w:hAnsi="Calibri" w:cs="Calibri"/>
          <w:i/>
          <w:iCs/>
          <w:lang w:val="en-GB"/>
        </w:rPr>
      </w:pPr>
    </w:p>
    <w:p w14:paraId="21080399" w14:textId="7E16DECE" w:rsidR="003C7C6D" w:rsidRPr="00825285" w:rsidRDefault="003C7C6D" w:rsidP="003C7C6D">
      <w:pPr>
        <w:spacing w:before="120"/>
        <w:jc w:val="both"/>
        <w:rPr>
          <w:b/>
          <w:i/>
          <w:color w:val="FF0000"/>
          <w:lang w:val="en-GB"/>
        </w:rPr>
      </w:pPr>
      <w:r w:rsidRPr="00825285">
        <w:rPr>
          <w:b/>
          <w:i/>
          <w:color w:val="FF0000"/>
          <w:lang w:val="en-GB"/>
        </w:rPr>
        <w:t xml:space="preserve">Please, note that we do not recommend this maximum amount as a ‘target’ for your </w:t>
      </w:r>
      <w:r w:rsidR="001B10ED" w:rsidRPr="00825285">
        <w:rPr>
          <w:b/>
          <w:i/>
          <w:color w:val="FF0000"/>
          <w:lang w:val="en-GB"/>
        </w:rPr>
        <w:t>Tender</w:t>
      </w:r>
      <w:r w:rsidRPr="00825285">
        <w:rPr>
          <w:b/>
          <w:i/>
          <w:color w:val="FF0000"/>
          <w:lang w:val="en-GB"/>
        </w:rPr>
        <w:t xml:space="preserve">. The evaluation is a result of a combination of technical soundness and cost effectiveness of the </w:t>
      </w:r>
      <w:r w:rsidR="001B10ED" w:rsidRPr="00825285">
        <w:rPr>
          <w:b/>
          <w:i/>
          <w:color w:val="FF0000"/>
          <w:lang w:val="en-GB"/>
        </w:rPr>
        <w:t>Tender</w:t>
      </w:r>
      <w:r w:rsidRPr="00825285">
        <w:rPr>
          <w:b/>
          <w:i/>
          <w:color w:val="FF0000"/>
          <w:lang w:val="en-GB"/>
        </w:rPr>
        <w:t>s, i.e. the evaluation of the financial component will be added to the evaluation result of the technical component, in accordance with the principles and weights set out in this document.</w:t>
      </w:r>
    </w:p>
    <w:p w14:paraId="4B7EB98E" w14:textId="77777777" w:rsidR="003C7C6D" w:rsidRPr="00825285" w:rsidRDefault="003C7C6D" w:rsidP="003C7C6D">
      <w:pPr>
        <w:spacing w:before="480"/>
        <w:jc w:val="center"/>
        <w:rPr>
          <w:rFonts w:asciiTheme="minorHAnsi" w:hAnsiTheme="minorHAnsi"/>
          <w:color w:val="808080" w:themeColor="background1" w:themeShade="80"/>
          <w:lang w:val="en-GB"/>
        </w:rPr>
      </w:pPr>
      <w:r w:rsidRPr="00825285">
        <w:rPr>
          <w:rFonts w:asciiTheme="minorHAnsi" w:hAnsiTheme="minorHAnsi" w:cs="Calibri"/>
          <w:color w:val="808080" w:themeColor="background1" w:themeShade="80"/>
          <w:lang w:val="en-GB"/>
        </w:rPr>
        <w:t>THE REMAINDER OF THIS PAGE LEFT INTENTIONALLY BLANK</w:t>
      </w:r>
    </w:p>
    <w:p w14:paraId="5ED6B203" w14:textId="77777777" w:rsidR="00D04E92" w:rsidRPr="00825285" w:rsidRDefault="00D04E92">
      <w:pPr>
        <w:rPr>
          <w:rFonts w:ascii="Calibri" w:hAnsi="Calibri" w:cs="Calibri"/>
          <w:b/>
          <w:lang w:val="en-GB"/>
        </w:rPr>
      </w:pPr>
      <w:r w:rsidRPr="00825285">
        <w:rPr>
          <w:rFonts w:cs="Calibri"/>
          <w:lang w:val="en-GB"/>
        </w:rPr>
        <w:br w:type="page"/>
      </w:r>
    </w:p>
    <w:p w14:paraId="47F16DB9" w14:textId="44A09090" w:rsidR="00D67AEA" w:rsidRPr="00825285" w:rsidRDefault="00B225F1" w:rsidP="00A31E49">
      <w:pPr>
        <w:pStyle w:val="Heading3"/>
        <w:jc w:val="both"/>
        <w:rPr>
          <w:rFonts w:cs="Calibri"/>
          <w:sz w:val="24"/>
          <w:lang w:val="en-GB" w:eastAsia="ko-KR"/>
        </w:rPr>
      </w:pPr>
      <w:bookmarkStart w:id="8" w:name="_Toc374271006"/>
      <w:r w:rsidRPr="00825285">
        <w:rPr>
          <w:rFonts w:cs="Calibri"/>
          <w:sz w:val="24"/>
          <w:lang w:val="en-GB"/>
        </w:rPr>
        <w:lastRenderedPageBreak/>
        <w:t>Evaluation of</w:t>
      </w:r>
      <w:r w:rsidR="0063703A" w:rsidRPr="00825285">
        <w:rPr>
          <w:rFonts w:cs="Calibri"/>
          <w:sz w:val="24"/>
          <w:lang w:val="en-GB"/>
        </w:rPr>
        <w:t xml:space="preserve"> </w:t>
      </w:r>
      <w:r w:rsidRPr="00825285">
        <w:rPr>
          <w:rFonts w:cs="Calibri"/>
          <w:sz w:val="24"/>
          <w:lang w:val="en-GB"/>
        </w:rPr>
        <w:t>t</w:t>
      </w:r>
      <w:r w:rsidR="00D67AEA" w:rsidRPr="00825285">
        <w:rPr>
          <w:rFonts w:cs="Calibri"/>
          <w:sz w:val="24"/>
          <w:lang w:val="en-GB"/>
        </w:rPr>
        <w:t>echnical</w:t>
      </w:r>
      <w:r w:rsidR="0063703A" w:rsidRPr="00825285">
        <w:rPr>
          <w:rFonts w:cs="Calibri"/>
          <w:sz w:val="24"/>
          <w:lang w:val="en-GB"/>
        </w:rPr>
        <w:t xml:space="preserve"> </w:t>
      </w:r>
      <w:r w:rsidRPr="00825285">
        <w:rPr>
          <w:rFonts w:cs="Calibri"/>
          <w:sz w:val="24"/>
          <w:lang w:val="en-GB"/>
        </w:rPr>
        <w:t>c</w:t>
      </w:r>
      <w:r w:rsidR="0097784D" w:rsidRPr="00825285">
        <w:rPr>
          <w:rFonts w:cs="Calibri"/>
          <w:sz w:val="24"/>
          <w:lang w:val="en-GB"/>
        </w:rPr>
        <w:t>omponents</w:t>
      </w:r>
      <w:bookmarkEnd w:id="8"/>
    </w:p>
    <w:p w14:paraId="1386D867" w14:textId="1CE658E5" w:rsidR="006E17EC" w:rsidRPr="0086421F" w:rsidRDefault="00E15F4B" w:rsidP="00ED3FDE">
      <w:pPr>
        <w:spacing w:after="240"/>
        <w:jc w:val="both"/>
        <w:rPr>
          <w:lang w:val="en-GB"/>
        </w:rPr>
      </w:pPr>
      <w:r w:rsidRPr="00825285">
        <w:rPr>
          <w:rFonts w:ascii="Calibri" w:hAnsi="Calibri" w:cs="Calibri"/>
          <w:lang w:val="en-GB"/>
        </w:rPr>
        <w:t xml:space="preserve">A </w:t>
      </w:r>
      <w:r w:rsidR="001B10ED" w:rsidRPr="00825285">
        <w:rPr>
          <w:rFonts w:ascii="Calibri" w:hAnsi="Calibri" w:cs="Calibri"/>
          <w:lang w:val="en-GB"/>
        </w:rPr>
        <w:t>Tender</w:t>
      </w:r>
      <w:r w:rsidRPr="00825285">
        <w:rPr>
          <w:rFonts w:ascii="Calibri" w:hAnsi="Calibri" w:cs="Calibri"/>
          <w:lang w:val="en-GB"/>
        </w:rPr>
        <w:t xml:space="preserve"> will be rejected at this stage if it fails to respond to important aspects of the Terms of </w:t>
      </w:r>
      <w:r w:rsidRPr="0086421F">
        <w:rPr>
          <w:rFonts w:ascii="Calibri" w:hAnsi="Calibri" w:cs="Calibri"/>
          <w:lang w:val="en-GB"/>
        </w:rPr>
        <w:t>Reference</w:t>
      </w:r>
      <w:r w:rsidRPr="0086421F">
        <w:rPr>
          <w:rFonts w:ascii="Calibri" w:hAnsi="Calibri" w:cs="Calibri"/>
          <w:lang w:val="en-GB" w:eastAsia="ko-KR"/>
        </w:rPr>
        <w:t xml:space="preserve">. </w:t>
      </w:r>
      <w:r w:rsidR="00D67AEA" w:rsidRPr="0086421F">
        <w:rPr>
          <w:rFonts w:ascii="Calibri" w:hAnsi="Calibri" w:cs="Calibri"/>
          <w:lang w:val="en-GB" w:eastAsia="ko-KR"/>
        </w:rPr>
        <w:t xml:space="preserve">The detailed </w:t>
      </w:r>
      <w:r w:rsidR="00103F13" w:rsidRPr="0086421F">
        <w:rPr>
          <w:rFonts w:ascii="Calibri" w:hAnsi="Calibri" w:cs="Calibri"/>
          <w:lang w:val="en-GB" w:eastAsia="ko-KR"/>
        </w:rPr>
        <w:t xml:space="preserve">technical </w:t>
      </w:r>
      <w:r w:rsidR="00D67AEA" w:rsidRPr="0086421F">
        <w:rPr>
          <w:rFonts w:ascii="Calibri" w:hAnsi="Calibri" w:cs="Calibri"/>
          <w:lang w:val="en-GB" w:eastAsia="ko-KR"/>
        </w:rPr>
        <w:t>evaluat</w:t>
      </w:r>
      <w:r w:rsidR="00103F13" w:rsidRPr="0086421F">
        <w:rPr>
          <w:rFonts w:ascii="Calibri" w:hAnsi="Calibri" w:cs="Calibri"/>
          <w:lang w:val="en-GB" w:eastAsia="ko-KR"/>
        </w:rPr>
        <w:t xml:space="preserve">ion criteria and possible </w:t>
      </w:r>
      <w:r w:rsidR="00D67AEA" w:rsidRPr="0086421F">
        <w:rPr>
          <w:rFonts w:ascii="Calibri" w:hAnsi="Calibri" w:cs="Calibri"/>
          <w:lang w:val="en-GB" w:eastAsia="ko-KR"/>
        </w:rPr>
        <w:t>score</w:t>
      </w:r>
      <w:r w:rsidR="00103F13" w:rsidRPr="0086421F">
        <w:rPr>
          <w:rFonts w:ascii="Calibri" w:hAnsi="Calibri" w:cs="Calibri"/>
          <w:lang w:val="en-GB" w:eastAsia="ko-KR"/>
        </w:rPr>
        <w:t>s</w:t>
      </w:r>
      <w:r w:rsidR="00D67AEA" w:rsidRPr="0086421F">
        <w:rPr>
          <w:rFonts w:ascii="Calibri" w:hAnsi="Calibri" w:cs="Calibri"/>
          <w:lang w:val="en-GB" w:eastAsia="ko-KR"/>
        </w:rPr>
        <w:t xml:space="preserve"> for each are </w:t>
      </w:r>
      <w:r w:rsidR="007F719F" w:rsidRPr="0086421F">
        <w:rPr>
          <w:rFonts w:ascii="Calibri" w:hAnsi="Calibri" w:cs="Calibri"/>
          <w:lang w:val="en-GB" w:eastAsia="ko-KR"/>
        </w:rPr>
        <w:t>as follows</w:t>
      </w:r>
      <w:r w:rsidR="00D67AEA" w:rsidRPr="0086421F">
        <w:rPr>
          <w:rFonts w:ascii="Calibri" w:hAnsi="Calibri" w:cs="Calibri"/>
          <w:lang w:val="en-GB" w:eastAsia="ko-KR"/>
        </w:rPr>
        <w:t>:</w:t>
      </w:r>
    </w:p>
    <w:tbl>
      <w:tblPr>
        <w:tblpPr w:leftFromText="142" w:rightFromText="142" w:vertAnchor="text" w:horzAnchor="margin" w:tblpY="83"/>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343"/>
        <w:gridCol w:w="1028"/>
      </w:tblGrid>
      <w:tr w:rsidR="006E17EC" w:rsidRPr="0086421F" w14:paraId="63269C81" w14:textId="77777777" w:rsidTr="004167C6">
        <w:trPr>
          <w:cantSplit/>
          <w:tblHeader/>
        </w:trPr>
        <w:tc>
          <w:tcPr>
            <w:tcW w:w="2263" w:type="dxa"/>
            <w:vAlign w:val="center"/>
          </w:tcPr>
          <w:p w14:paraId="0926894E" w14:textId="29433CF9" w:rsidR="006E17EC" w:rsidRPr="0086421F" w:rsidRDefault="006E17EC" w:rsidP="006E17EC">
            <w:pPr>
              <w:pStyle w:val="TableContents"/>
              <w:jc w:val="center"/>
              <w:rPr>
                <w:rFonts w:cs="Calibri"/>
                <w:b/>
              </w:rPr>
            </w:pPr>
            <w:r w:rsidRPr="0086421F">
              <w:rPr>
                <w:rFonts w:cs="Calibri"/>
                <w:b/>
              </w:rPr>
              <w:lastRenderedPageBreak/>
              <w:t>Major Criteria</w:t>
            </w:r>
          </w:p>
        </w:tc>
        <w:tc>
          <w:tcPr>
            <w:tcW w:w="6343" w:type="dxa"/>
            <w:vAlign w:val="center"/>
          </w:tcPr>
          <w:p w14:paraId="266E364D" w14:textId="77777777" w:rsidR="006E17EC" w:rsidRPr="0086421F" w:rsidRDefault="006E17EC" w:rsidP="006E17EC">
            <w:pPr>
              <w:pStyle w:val="TableContents"/>
              <w:jc w:val="center"/>
              <w:rPr>
                <w:rFonts w:cs="Calibri"/>
                <w:b/>
              </w:rPr>
            </w:pPr>
            <w:r w:rsidRPr="0086421F">
              <w:rPr>
                <w:rFonts w:cs="Calibri"/>
                <w:b/>
              </w:rPr>
              <w:t>Details &amp; Sub-Criteria</w:t>
            </w:r>
          </w:p>
        </w:tc>
        <w:tc>
          <w:tcPr>
            <w:tcW w:w="1028" w:type="dxa"/>
            <w:vAlign w:val="center"/>
          </w:tcPr>
          <w:p w14:paraId="6D25EDF4" w14:textId="77777777" w:rsidR="006E17EC" w:rsidRPr="0086421F" w:rsidRDefault="006E17EC" w:rsidP="006E17EC">
            <w:pPr>
              <w:pStyle w:val="TableContents"/>
              <w:jc w:val="center"/>
              <w:rPr>
                <w:rFonts w:cs="Calibri"/>
                <w:b/>
              </w:rPr>
            </w:pPr>
            <w:r w:rsidRPr="0086421F">
              <w:rPr>
                <w:rFonts w:cs="Calibri"/>
                <w:b/>
              </w:rPr>
              <w:t>Possible Score</w:t>
            </w:r>
          </w:p>
        </w:tc>
      </w:tr>
      <w:tr w:rsidR="006E17EC" w:rsidRPr="0086421F" w14:paraId="053B03DF" w14:textId="77777777" w:rsidTr="004167C6">
        <w:trPr>
          <w:cantSplit/>
          <w:tblHeader/>
        </w:trPr>
        <w:tc>
          <w:tcPr>
            <w:tcW w:w="2263" w:type="dxa"/>
            <w:vAlign w:val="center"/>
          </w:tcPr>
          <w:p w14:paraId="5B4EEC3C" w14:textId="035947B6" w:rsidR="006E17EC" w:rsidRPr="0086421F" w:rsidRDefault="00DE3F38" w:rsidP="006E17EC">
            <w:pPr>
              <w:pStyle w:val="TableContents"/>
              <w:rPr>
                <w:rFonts w:asciiTheme="minorHAnsi" w:hAnsiTheme="minorHAnsi"/>
                <w:sz w:val="22"/>
                <w:szCs w:val="22"/>
                <w:lang w:eastAsia="en-US"/>
              </w:rPr>
            </w:pPr>
            <w:r w:rsidRPr="0086421F">
              <w:rPr>
                <w:rFonts w:asciiTheme="minorHAnsi" w:hAnsiTheme="minorHAnsi"/>
                <w:sz w:val="22"/>
                <w:szCs w:val="22"/>
                <w:lang w:eastAsia="en-US"/>
              </w:rPr>
              <w:t>Firm/consortium’s experience and reputation in similar assignments</w:t>
            </w:r>
          </w:p>
        </w:tc>
        <w:tc>
          <w:tcPr>
            <w:tcW w:w="6343" w:type="dxa"/>
          </w:tcPr>
          <w:p w14:paraId="40B9CD59" w14:textId="025B8324" w:rsidR="006E17EC" w:rsidRDefault="00DE5E5A" w:rsidP="007019C3">
            <w:pPr>
              <w:pStyle w:val="TableContents"/>
              <w:rPr>
                <w:rFonts w:asciiTheme="minorHAnsi" w:hAnsiTheme="minorHAnsi"/>
                <w:sz w:val="22"/>
                <w:szCs w:val="22"/>
                <w:lang w:val="en-US"/>
              </w:rPr>
            </w:pPr>
            <w:r w:rsidRPr="00DE5E5A">
              <w:rPr>
                <w:rFonts w:asciiTheme="minorHAnsi" w:hAnsiTheme="minorHAnsi"/>
                <w:sz w:val="22"/>
                <w:szCs w:val="22"/>
                <w:lang w:val="en-US"/>
              </w:rPr>
              <w:t xml:space="preserve">The Tenderer shall demonstrate: </w:t>
            </w:r>
            <w:r w:rsidRPr="00DE5E5A">
              <w:rPr>
                <w:rFonts w:asciiTheme="minorHAnsi" w:hAnsiTheme="minorHAnsi"/>
                <w:b/>
                <w:bCs/>
                <w:sz w:val="22"/>
                <w:szCs w:val="22"/>
                <w:lang w:val="en-US"/>
              </w:rPr>
              <w:t>(</w:t>
            </w:r>
            <w:proofErr w:type="spellStart"/>
            <w:r w:rsidRPr="00DE5E5A">
              <w:rPr>
                <w:rFonts w:asciiTheme="minorHAnsi" w:hAnsiTheme="minorHAnsi"/>
                <w:b/>
                <w:bCs/>
                <w:sz w:val="22"/>
                <w:szCs w:val="22"/>
                <w:lang w:val="en-US"/>
              </w:rPr>
              <w:t>i</w:t>
            </w:r>
            <w:proofErr w:type="spellEnd"/>
            <w:r w:rsidRPr="00DE5E5A">
              <w:rPr>
                <w:rFonts w:asciiTheme="minorHAnsi" w:hAnsiTheme="minorHAnsi"/>
                <w:b/>
                <w:bCs/>
                <w:sz w:val="22"/>
                <w:szCs w:val="22"/>
                <w:lang w:val="en-US"/>
              </w:rPr>
              <w:t>)</w:t>
            </w:r>
            <w:r w:rsidRPr="00DE5E5A">
              <w:rPr>
                <w:rFonts w:asciiTheme="minorHAnsi" w:hAnsiTheme="minorHAnsi"/>
                <w:sz w:val="22"/>
                <w:szCs w:val="22"/>
                <w:lang w:val="en-US"/>
              </w:rPr>
              <w:t xml:space="preserve"> proven experience in undertaking IFRS transition, IFRS conversion, or financial reporting framework conversion assignments from local GAAP or similar frameworks to IFRS; </w:t>
            </w:r>
            <w:r w:rsidRPr="00DE5E5A">
              <w:rPr>
                <w:rFonts w:asciiTheme="minorHAnsi" w:hAnsiTheme="minorHAnsi"/>
                <w:b/>
                <w:bCs/>
                <w:sz w:val="22"/>
                <w:szCs w:val="22"/>
                <w:lang w:val="en-US"/>
              </w:rPr>
              <w:t>(ii)</w:t>
            </w:r>
            <w:r w:rsidRPr="00DE5E5A">
              <w:rPr>
                <w:rFonts w:asciiTheme="minorHAnsi" w:hAnsiTheme="minorHAnsi"/>
                <w:sz w:val="22"/>
                <w:szCs w:val="22"/>
                <w:lang w:val="en-US"/>
              </w:rPr>
              <w:t xml:space="preserve"> demonstrated experience in preparing IFRS gap assessments, IFRS transition roadmaps, IFRS-compliant financial statements, IFRS 1 first-time adoption adjustments, and restatement of comparative balances; </w:t>
            </w:r>
            <w:r w:rsidRPr="00DE5E5A">
              <w:rPr>
                <w:rFonts w:asciiTheme="minorHAnsi" w:hAnsiTheme="minorHAnsi"/>
                <w:b/>
                <w:bCs/>
                <w:sz w:val="22"/>
                <w:szCs w:val="22"/>
                <w:lang w:val="en-US"/>
              </w:rPr>
              <w:t>(iii)</w:t>
            </w:r>
            <w:r w:rsidRPr="00DE5E5A">
              <w:rPr>
                <w:rFonts w:asciiTheme="minorHAnsi" w:hAnsiTheme="minorHAnsi"/>
                <w:sz w:val="22"/>
                <w:szCs w:val="22"/>
                <w:lang w:val="en-US"/>
              </w:rPr>
              <w:t xml:space="preserve"> experience in public sector entities, state-owned enterprises, statutory authorities, ports, infrastructure, utilities, or other asset-intensive </w:t>
            </w:r>
            <w:r w:rsidR="00332F39" w:rsidRPr="00DE5E5A">
              <w:rPr>
                <w:rFonts w:asciiTheme="minorHAnsi" w:hAnsiTheme="minorHAnsi"/>
                <w:sz w:val="22"/>
                <w:szCs w:val="22"/>
                <w:lang w:val="en-US"/>
              </w:rPr>
              <w:t>organizations</w:t>
            </w:r>
            <w:r w:rsidRPr="00DE5E5A">
              <w:rPr>
                <w:rFonts w:asciiTheme="minorHAnsi" w:hAnsiTheme="minorHAnsi"/>
                <w:sz w:val="22"/>
                <w:szCs w:val="22"/>
                <w:lang w:val="en-US"/>
              </w:rPr>
              <w:t xml:space="preserve">; </w:t>
            </w:r>
            <w:r w:rsidRPr="00DE5E5A">
              <w:rPr>
                <w:rFonts w:asciiTheme="minorHAnsi" w:hAnsiTheme="minorHAnsi"/>
                <w:b/>
                <w:bCs/>
                <w:sz w:val="22"/>
                <w:szCs w:val="22"/>
                <w:lang w:val="en-US"/>
              </w:rPr>
              <w:t>(iv)</w:t>
            </w:r>
            <w:r w:rsidRPr="00DE5E5A">
              <w:rPr>
                <w:rFonts w:asciiTheme="minorHAnsi" w:hAnsiTheme="minorHAnsi"/>
                <w:sz w:val="22"/>
                <w:szCs w:val="22"/>
                <w:lang w:val="en-US"/>
              </w:rPr>
              <w:t xml:space="preserve"> demonstrated experience in addressing technical accounting areas relevant to KPA, including property, plant and equipment, revenue recognition, financial instruments, donated assets, related party transactions, provisions, and disclosures; </w:t>
            </w:r>
            <w:r w:rsidRPr="00DE5E5A">
              <w:rPr>
                <w:rFonts w:asciiTheme="minorHAnsi" w:hAnsiTheme="minorHAnsi"/>
                <w:b/>
                <w:bCs/>
                <w:sz w:val="22"/>
                <w:szCs w:val="22"/>
                <w:lang w:val="en-US"/>
              </w:rPr>
              <w:t>(v)</w:t>
            </w:r>
            <w:r w:rsidRPr="00DE5E5A">
              <w:rPr>
                <w:rFonts w:asciiTheme="minorHAnsi" w:hAnsiTheme="minorHAnsi"/>
                <w:sz w:val="22"/>
                <w:szCs w:val="22"/>
                <w:lang w:val="en-US"/>
              </w:rPr>
              <w:t xml:space="preserve"> successful completion of similar assignments within agreed timeframes; and </w:t>
            </w:r>
            <w:r w:rsidRPr="00DE5E5A">
              <w:rPr>
                <w:rFonts w:asciiTheme="minorHAnsi" w:hAnsiTheme="minorHAnsi"/>
                <w:b/>
                <w:bCs/>
                <w:sz w:val="22"/>
                <w:szCs w:val="22"/>
                <w:lang w:val="en-US"/>
              </w:rPr>
              <w:t>(vi)</w:t>
            </w:r>
            <w:r w:rsidRPr="00DE5E5A">
              <w:rPr>
                <w:rFonts w:asciiTheme="minorHAnsi" w:hAnsiTheme="minorHAnsi"/>
                <w:sz w:val="22"/>
                <w:szCs w:val="22"/>
                <w:lang w:val="en-US"/>
              </w:rPr>
              <w:t xml:space="preserve"> strong professional reputation, quality assurance arrangements, and positive client references. Experience in the Pacific region or other small island jurisdictions will be an added advantage.</w:t>
            </w:r>
          </w:p>
          <w:p w14:paraId="3ADDF29E" w14:textId="6890A056" w:rsidR="007019C3" w:rsidRPr="0086421F" w:rsidRDefault="007019C3" w:rsidP="007019C3">
            <w:pPr>
              <w:pStyle w:val="TableContents"/>
              <w:rPr>
                <w:rFonts w:asciiTheme="minorHAnsi" w:hAnsiTheme="minorHAnsi"/>
                <w:sz w:val="22"/>
                <w:szCs w:val="22"/>
              </w:rPr>
            </w:pPr>
          </w:p>
        </w:tc>
        <w:tc>
          <w:tcPr>
            <w:tcW w:w="1028" w:type="dxa"/>
            <w:vAlign w:val="center"/>
          </w:tcPr>
          <w:p w14:paraId="6FB170A3" w14:textId="270D2603" w:rsidR="006E17EC" w:rsidRPr="0086421F" w:rsidRDefault="00DE5E5A"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25</w:t>
            </w:r>
          </w:p>
        </w:tc>
      </w:tr>
      <w:tr w:rsidR="006E17EC" w:rsidRPr="0086421F" w14:paraId="613F68D6" w14:textId="77777777" w:rsidTr="004167C6">
        <w:trPr>
          <w:cantSplit/>
          <w:tblHeader/>
        </w:trPr>
        <w:tc>
          <w:tcPr>
            <w:tcW w:w="2263" w:type="dxa"/>
            <w:vAlign w:val="center"/>
          </w:tcPr>
          <w:p w14:paraId="44102FCB" w14:textId="09FD8B5A" w:rsidR="006E17EC" w:rsidRPr="0086421F" w:rsidRDefault="00DE3F38" w:rsidP="006E17EC">
            <w:pPr>
              <w:pStyle w:val="TableContents"/>
              <w:rPr>
                <w:rFonts w:asciiTheme="minorHAnsi" w:hAnsiTheme="minorHAnsi"/>
                <w:sz w:val="22"/>
                <w:szCs w:val="22"/>
                <w:lang w:eastAsia="en-US"/>
              </w:rPr>
            </w:pPr>
            <w:r w:rsidRPr="0086421F">
              <w:rPr>
                <w:rFonts w:asciiTheme="minorHAnsi" w:hAnsiTheme="minorHAnsi"/>
                <w:sz w:val="22"/>
                <w:szCs w:val="22"/>
                <w:lang w:eastAsia="en-US"/>
              </w:rPr>
              <w:t>Methodology</w:t>
            </w:r>
          </w:p>
        </w:tc>
        <w:tc>
          <w:tcPr>
            <w:tcW w:w="6343" w:type="dxa"/>
          </w:tcPr>
          <w:p w14:paraId="4BA71FA2" w14:textId="0C6A94EB" w:rsidR="006E17EC" w:rsidRPr="0086421F" w:rsidRDefault="007019C3" w:rsidP="007019C3">
            <w:pPr>
              <w:pStyle w:val="TableContents"/>
              <w:rPr>
                <w:rFonts w:asciiTheme="minorHAnsi" w:hAnsiTheme="minorHAnsi"/>
                <w:sz w:val="22"/>
                <w:szCs w:val="22"/>
              </w:rPr>
            </w:pPr>
            <w:r w:rsidRPr="007019C3">
              <w:rPr>
                <w:rFonts w:asciiTheme="minorHAnsi" w:hAnsiTheme="minorHAnsi"/>
                <w:sz w:val="22"/>
                <w:szCs w:val="22"/>
                <w:lang w:val="en-US"/>
              </w:rPr>
              <w:t xml:space="preserve">The Tenderer shall present a clear, practical, and well-structured methodology covering: </w:t>
            </w:r>
            <w:r w:rsidRPr="007019C3">
              <w:rPr>
                <w:rFonts w:asciiTheme="minorHAnsi" w:hAnsiTheme="minorHAnsi"/>
                <w:b/>
                <w:bCs/>
                <w:sz w:val="22"/>
                <w:szCs w:val="22"/>
                <w:lang w:val="en-US"/>
              </w:rPr>
              <w:t>(</w:t>
            </w:r>
            <w:proofErr w:type="spellStart"/>
            <w:r w:rsidRPr="007019C3">
              <w:rPr>
                <w:rFonts w:asciiTheme="minorHAnsi" w:hAnsiTheme="minorHAnsi"/>
                <w:b/>
                <w:bCs/>
                <w:sz w:val="22"/>
                <w:szCs w:val="22"/>
                <w:lang w:val="en-US"/>
              </w:rPr>
              <w:t>i</w:t>
            </w:r>
            <w:proofErr w:type="spellEnd"/>
            <w:r w:rsidRPr="007019C3">
              <w:rPr>
                <w:rFonts w:asciiTheme="minorHAnsi" w:hAnsiTheme="minorHAnsi"/>
                <w:b/>
                <w:bCs/>
                <w:sz w:val="22"/>
                <w:szCs w:val="22"/>
                <w:lang w:val="en-US"/>
              </w:rPr>
              <w:t>)</w:t>
            </w:r>
            <w:r w:rsidRPr="007019C3">
              <w:rPr>
                <w:rFonts w:asciiTheme="minorHAnsi" w:hAnsiTheme="minorHAnsi"/>
                <w:sz w:val="22"/>
                <w:szCs w:val="22"/>
                <w:lang w:val="en-US"/>
              </w:rPr>
              <w:t xml:space="preserve"> understanding of KPA’s objectives and the scope of the IFRS transition assignment; </w:t>
            </w:r>
            <w:r w:rsidRPr="007019C3">
              <w:rPr>
                <w:rFonts w:asciiTheme="minorHAnsi" w:hAnsiTheme="minorHAnsi"/>
                <w:b/>
                <w:bCs/>
                <w:sz w:val="22"/>
                <w:szCs w:val="22"/>
                <w:lang w:val="en-US"/>
              </w:rPr>
              <w:t>(ii)</w:t>
            </w:r>
            <w:r w:rsidRPr="007019C3">
              <w:rPr>
                <w:rFonts w:asciiTheme="minorHAnsi" w:hAnsiTheme="minorHAnsi"/>
                <w:sz w:val="22"/>
                <w:szCs w:val="22"/>
                <w:lang w:val="en-US"/>
              </w:rPr>
              <w:t xml:space="preserve"> approach to the initial assessment of KPA’s existing accounting policies, reporting framework, and audited financial statements; </w:t>
            </w:r>
            <w:r w:rsidRPr="007019C3">
              <w:rPr>
                <w:rFonts w:asciiTheme="minorHAnsi" w:hAnsiTheme="minorHAnsi"/>
                <w:b/>
                <w:bCs/>
                <w:sz w:val="22"/>
                <w:szCs w:val="22"/>
                <w:lang w:val="en-US"/>
              </w:rPr>
              <w:t>(iii)</w:t>
            </w:r>
            <w:r w:rsidRPr="007019C3">
              <w:rPr>
                <w:rFonts w:asciiTheme="minorHAnsi" w:hAnsiTheme="minorHAnsi"/>
                <w:sz w:val="22"/>
                <w:szCs w:val="22"/>
                <w:lang w:val="en-US"/>
              </w:rPr>
              <w:t xml:space="preserve"> methodology for identifying recognition, measurement, presentation, and disclosure gaps between current practice and IFRS requirements; </w:t>
            </w:r>
            <w:r w:rsidRPr="007019C3">
              <w:rPr>
                <w:rFonts w:asciiTheme="minorHAnsi" w:hAnsiTheme="minorHAnsi"/>
                <w:b/>
                <w:bCs/>
                <w:sz w:val="22"/>
                <w:szCs w:val="22"/>
                <w:lang w:val="en-US"/>
              </w:rPr>
              <w:t>(iv)</w:t>
            </w:r>
            <w:r w:rsidRPr="007019C3">
              <w:rPr>
                <w:rFonts w:asciiTheme="minorHAnsi" w:hAnsiTheme="minorHAnsi"/>
                <w:sz w:val="22"/>
                <w:szCs w:val="22"/>
                <w:lang w:val="en-US"/>
              </w:rPr>
              <w:t xml:space="preserve"> preparation of a comprehensive IFRS Transition Roadmap, including milestones, timeframes, responsibilities, resource requirements, risks, and mitigation measures; </w:t>
            </w:r>
            <w:r w:rsidRPr="007019C3">
              <w:rPr>
                <w:rFonts w:asciiTheme="minorHAnsi" w:hAnsiTheme="minorHAnsi"/>
                <w:b/>
                <w:bCs/>
                <w:sz w:val="22"/>
                <w:szCs w:val="22"/>
                <w:lang w:val="en-US"/>
              </w:rPr>
              <w:t>(v)</w:t>
            </w:r>
            <w:r w:rsidRPr="007019C3">
              <w:rPr>
                <w:rFonts w:asciiTheme="minorHAnsi" w:hAnsiTheme="minorHAnsi"/>
                <w:sz w:val="22"/>
                <w:szCs w:val="22"/>
                <w:lang w:val="en-US"/>
              </w:rPr>
              <w:t xml:space="preserve"> approach to IFRS conversion activities, including redrafting financial statements into IFRS format, preparing accounting position papers, applying IFRS 1 first-time adoption requirements, and restating prior-year comparatives where required; </w:t>
            </w:r>
            <w:r w:rsidRPr="007019C3">
              <w:rPr>
                <w:rFonts w:asciiTheme="minorHAnsi" w:hAnsiTheme="minorHAnsi"/>
                <w:b/>
                <w:bCs/>
                <w:sz w:val="22"/>
                <w:szCs w:val="22"/>
                <w:lang w:val="en-US"/>
              </w:rPr>
              <w:t>(vi)</w:t>
            </w:r>
            <w:r w:rsidRPr="007019C3">
              <w:rPr>
                <w:rFonts w:asciiTheme="minorHAnsi" w:hAnsiTheme="minorHAnsi"/>
                <w:sz w:val="22"/>
                <w:szCs w:val="22"/>
                <w:lang w:val="en-US"/>
              </w:rPr>
              <w:t xml:space="preserve"> approach to the review and </w:t>
            </w:r>
            <w:proofErr w:type="spellStart"/>
            <w:r w:rsidRPr="007019C3">
              <w:rPr>
                <w:rFonts w:asciiTheme="minorHAnsi" w:hAnsiTheme="minorHAnsi"/>
                <w:sz w:val="22"/>
                <w:szCs w:val="22"/>
                <w:lang w:val="en-US"/>
              </w:rPr>
              <w:t>finalisation</w:t>
            </w:r>
            <w:proofErr w:type="spellEnd"/>
            <w:r w:rsidRPr="007019C3">
              <w:rPr>
                <w:rFonts w:asciiTheme="minorHAnsi" w:hAnsiTheme="minorHAnsi"/>
                <w:sz w:val="22"/>
                <w:szCs w:val="22"/>
                <w:lang w:val="en-US"/>
              </w:rPr>
              <w:t xml:space="preserve"> of draft and final IFRS-compliant financial statements; </w:t>
            </w:r>
            <w:r w:rsidRPr="007019C3">
              <w:rPr>
                <w:rFonts w:asciiTheme="minorHAnsi" w:hAnsiTheme="minorHAnsi"/>
                <w:b/>
                <w:bCs/>
                <w:sz w:val="22"/>
                <w:szCs w:val="22"/>
                <w:lang w:val="en-US"/>
              </w:rPr>
              <w:t>(vii)</w:t>
            </w:r>
            <w:r w:rsidRPr="007019C3">
              <w:rPr>
                <w:rFonts w:asciiTheme="minorHAnsi" w:hAnsiTheme="minorHAnsi"/>
                <w:sz w:val="22"/>
                <w:szCs w:val="22"/>
                <w:lang w:val="en-US"/>
              </w:rPr>
              <w:t xml:space="preserve"> quality assurance and internal technical review arrangements; </w:t>
            </w:r>
            <w:r w:rsidRPr="007019C3">
              <w:rPr>
                <w:rFonts w:asciiTheme="minorHAnsi" w:hAnsiTheme="minorHAnsi"/>
                <w:b/>
                <w:bCs/>
                <w:sz w:val="22"/>
                <w:szCs w:val="22"/>
                <w:lang w:val="en-US"/>
              </w:rPr>
              <w:t>(viii)</w:t>
            </w:r>
            <w:r w:rsidRPr="007019C3">
              <w:rPr>
                <w:rFonts w:asciiTheme="minorHAnsi" w:hAnsiTheme="minorHAnsi"/>
                <w:sz w:val="22"/>
                <w:szCs w:val="22"/>
                <w:lang w:val="en-US"/>
              </w:rPr>
              <w:t xml:space="preserve"> reporting, communication, and issue-escalation arrangements with Management, the Steering Committee, and other relevant stakeholders; and </w:t>
            </w:r>
            <w:r w:rsidRPr="007019C3">
              <w:rPr>
                <w:rFonts w:asciiTheme="minorHAnsi" w:hAnsiTheme="minorHAnsi"/>
                <w:b/>
                <w:bCs/>
                <w:sz w:val="22"/>
                <w:szCs w:val="22"/>
                <w:lang w:val="en-US"/>
              </w:rPr>
              <w:t>(ix)</w:t>
            </w:r>
            <w:r w:rsidRPr="007019C3">
              <w:rPr>
                <w:rFonts w:asciiTheme="minorHAnsi" w:hAnsiTheme="minorHAnsi"/>
                <w:sz w:val="22"/>
                <w:szCs w:val="22"/>
                <w:lang w:val="en-US"/>
              </w:rPr>
              <w:t xml:space="preserve"> practicality of the proposed work plan and deliverables within the required timeline.</w:t>
            </w:r>
          </w:p>
        </w:tc>
        <w:tc>
          <w:tcPr>
            <w:tcW w:w="1028" w:type="dxa"/>
            <w:vAlign w:val="center"/>
          </w:tcPr>
          <w:p w14:paraId="657554B4" w14:textId="05470AA6" w:rsidR="006E17EC" w:rsidRPr="0086421F" w:rsidRDefault="00B97C5E"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86421F" w14:paraId="7395E14D" w14:textId="77777777" w:rsidTr="004167C6">
        <w:trPr>
          <w:cantSplit/>
          <w:tblHeader/>
        </w:trPr>
        <w:tc>
          <w:tcPr>
            <w:tcW w:w="2263" w:type="dxa"/>
            <w:vAlign w:val="center"/>
          </w:tcPr>
          <w:p w14:paraId="58A5C5B6" w14:textId="155B229B" w:rsidR="006E17EC" w:rsidRPr="0086421F" w:rsidRDefault="00DE3F38" w:rsidP="006E17EC">
            <w:pPr>
              <w:pStyle w:val="TableContents"/>
              <w:rPr>
                <w:rFonts w:asciiTheme="minorHAnsi" w:hAnsiTheme="minorHAnsi"/>
                <w:sz w:val="22"/>
                <w:szCs w:val="22"/>
                <w:lang w:eastAsia="en-US"/>
              </w:rPr>
            </w:pPr>
            <w:r w:rsidRPr="0086421F">
              <w:rPr>
                <w:rFonts w:asciiTheme="minorHAnsi" w:hAnsiTheme="minorHAnsi"/>
                <w:sz w:val="22"/>
                <w:szCs w:val="22"/>
                <w:lang w:eastAsia="en-US"/>
              </w:rPr>
              <w:t>Team composition and qualifications of proposed personnel</w:t>
            </w:r>
          </w:p>
        </w:tc>
        <w:tc>
          <w:tcPr>
            <w:tcW w:w="6343" w:type="dxa"/>
          </w:tcPr>
          <w:p w14:paraId="23A8F695" w14:textId="1A9B2671" w:rsidR="006E17EC" w:rsidRPr="0086421F" w:rsidRDefault="00B97C5E" w:rsidP="00B97C5E">
            <w:pPr>
              <w:pStyle w:val="TableContents"/>
              <w:rPr>
                <w:rFonts w:asciiTheme="minorHAnsi" w:hAnsiTheme="minorHAnsi"/>
                <w:sz w:val="22"/>
                <w:szCs w:val="22"/>
              </w:rPr>
            </w:pPr>
            <w:r w:rsidRPr="00B97C5E">
              <w:rPr>
                <w:rFonts w:asciiTheme="minorHAnsi" w:hAnsiTheme="minorHAnsi"/>
                <w:sz w:val="22"/>
                <w:szCs w:val="22"/>
                <w:lang w:val="en-US"/>
              </w:rPr>
              <w:t xml:space="preserve">The Tenderer shall demonstrate that the proposed team is suitably qualified and experienced for the assignment, including: </w:t>
            </w:r>
            <w:r w:rsidRPr="00B97C5E">
              <w:rPr>
                <w:rFonts w:asciiTheme="minorHAnsi" w:hAnsiTheme="minorHAnsi"/>
                <w:b/>
                <w:bCs/>
                <w:sz w:val="22"/>
                <w:szCs w:val="22"/>
                <w:lang w:val="en-US"/>
              </w:rPr>
              <w:t>(</w:t>
            </w:r>
            <w:proofErr w:type="spellStart"/>
            <w:r w:rsidRPr="00B97C5E">
              <w:rPr>
                <w:rFonts w:asciiTheme="minorHAnsi" w:hAnsiTheme="minorHAnsi"/>
                <w:b/>
                <w:bCs/>
                <w:sz w:val="22"/>
                <w:szCs w:val="22"/>
                <w:lang w:val="en-US"/>
              </w:rPr>
              <w:t>i</w:t>
            </w:r>
            <w:proofErr w:type="spellEnd"/>
            <w:r w:rsidRPr="00B97C5E">
              <w:rPr>
                <w:rFonts w:asciiTheme="minorHAnsi" w:hAnsiTheme="minorHAnsi"/>
                <w:b/>
                <w:bCs/>
                <w:sz w:val="22"/>
                <w:szCs w:val="22"/>
                <w:lang w:val="en-US"/>
              </w:rPr>
              <w:t>)</w:t>
            </w:r>
            <w:r w:rsidRPr="00B97C5E">
              <w:rPr>
                <w:rFonts w:asciiTheme="minorHAnsi" w:hAnsiTheme="minorHAnsi"/>
                <w:sz w:val="22"/>
                <w:szCs w:val="22"/>
                <w:lang w:val="en-US"/>
              </w:rPr>
              <w:t xml:space="preserve"> appropriate team structure and allocation of roles and responsibilities; </w:t>
            </w:r>
            <w:r w:rsidRPr="00B97C5E">
              <w:rPr>
                <w:rFonts w:asciiTheme="minorHAnsi" w:hAnsiTheme="minorHAnsi"/>
                <w:b/>
                <w:bCs/>
                <w:sz w:val="22"/>
                <w:szCs w:val="22"/>
                <w:lang w:val="en-US"/>
              </w:rPr>
              <w:t>(ii)</w:t>
            </w:r>
            <w:r w:rsidRPr="00B97C5E">
              <w:rPr>
                <w:rFonts w:asciiTheme="minorHAnsi" w:hAnsiTheme="minorHAnsi"/>
                <w:sz w:val="22"/>
                <w:szCs w:val="22"/>
                <w:lang w:val="en-US"/>
              </w:rPr>
              <w:t xml:space="preserve"> qualifications and professional certifications of key personnel, such as CA, CPA, ACCA, or equivalent; </w:t>
            </w:r>
            <w:r w:rsidRPr="00B97C5E">
              <w:rPr>
                <w:rFonts w:asciiTheme="minorHAnsi" w:hAnsiTheme="minorHAnsi"/>
                <w:b/>
                <w:bCs/>
                <w:sz w:val="22"/>
                <w:szCs w:val="22"/>
                <w:lang w:val="en-US"/>
              </w:rPr>
              <w:t>(iii)</w:t>
            </w:r>
            <w:r w:rsidRPr="00B97C5E">
              <w:rPr>
                <w:rFonts w:asciiTheme="minorHAnsi" w:hAnsiTheme="minorHAnsi"/>
                <w:sz w:val="22"/>
                <w:szCs w:val="22"/>
                <w:lang w:val="en-US"/>
              </w:rPr>
              <w:t xml:space="preserve"> direct experience of key personnel in IFRS transition, IFRS advisory, IFRS-compliant financial statement preparation, and technical accounting review; </w:t>
            </w:r>
            <w:r w:rsidRPr="00B97C5E">
              <w:rPr>
                <w:rFonts w:asciiTheme="minorHAnsi" w:hAnsiTheme="minorHAnsi"/>
                <w:b/>
                <w:bCs/>
                <w:sz w:val="22"/>
                <w:szCs w:val="22"/>
                <w:lang w:val="en-US"/>
              </w:rPr>
              <w:t>(iv)</w:t>
            </w:r>
            <w:r w:rsidRPr="00B97C5E">
              <w:rPr>
                <w:rFonts w:asciiTheme="minorHAnsi" w:hAnsiTheme="minorHAnsi"/>
                <w:sz w:val="22"/>
                <w:szCs w:val="22"/>
                <w:lang w:val="en-US"/>
              </w:rPr>
              <w:t xml:space="preserve"> experience of proposed personnel in similar sectors and assignments; </w:t>
            </w:r>
            <w:r w:rsidRPr="00B97C5E">
              <w:rPr>
                <w:rFonts w:asciiTheme="minorHAnsi" w:hAnsiTheme="minorHAnsi"/>
                <w:b/>
                <w:bCs/>
                <w:sz w:val="22"/>
                <w:szCs w:val="22"/>
                <w:lang w:val="en-US"/>
              </w:rPr>
              <w:t>(v)</w:t>
            </w:r>
            <w:r w:rsidRPr="00B97C5E">
              <w:rPr>
                <w:rFonts w:asciiTheme="minorHAnsi" w:hAnsiTheme="minorHAnsi"/>
                <w:sz w:val="22"/>
                <w:szCs w:val="22"/>
                <w:lang w:val="en-US"/>
              </w:rPr>
              <w:t xml:space="preserve"> availability and commitment of key personnel throughout the duration of the assignment; </w:t>
            </w:r>
            <w:r w:rsidRPr="00B97C5E">
              <w:rPr>
                <w:rFonts w:asciiTheme="minorHAnsi" w:hAnsiTheme="minorHAnsi"/>
                <w:b/>
                <w:bCs/>
                <w:sz w:val="22"/>
                <w:szCs w:val="22"/>
                <w:lang w:val="en-US"/>
              </w:rPr>
              <w:t>(vi)</w:t>
            </w:r>
            <w:r w:rsidRPr="00B97C5E">
              <w:rPr>
                <w:rFonts w:asciiTheme="minorHAnsi" w:hAnsiTheme="minorHAnsi"/>
                <w:sz w:val="22"/>
                <w:szCs w:val="22"/>
                <w:lang w:val="en-US"/>
              </w:rPr>
              <w:t xml:space="preserve"> balance between senior technical oversight and hands-on implementation support; and </w:t>
            </w:r>
            <w:r w:rsidRPr="00B97C5E">
              <w:rPr>
                <w:rFonts w:asciiTheme="minorHAnsi" w:hAnsiTheme="minorHAnsi"/>
                <w:b/>
                <w:bCs/>
                <w:sz w:val="22"/>
                <w:szCs w:val="22"/>
                <w:lang w:val="en-US"/>
              </w:rPr>
              <w:t>(vii)</w:t>
            </w:r>
            <w:r w:rsidRPr="00B97C5E">
              <w:rPr>
                <w:rFonts w:asciiTheme="minorHAnsi" w:hAnsiTheme="minorHAnsi"/>
                <w:sz w:val="22"/>
                <w:szCs w:val="22"/>
                <w:lang w:val="en-US"/>
              </w:rPr>
              <w:t xml:space="preserve"> demonstrated ability of the team to provide practical </w:t>
            </w:r>
            <w:r w:rsidRPr="00B97C5E">
              <w:rPr>
                <w:rFonts w:asciiTheme="minorHAnsi" w:hAnsiTheme="minorHAnsi"/>
                <w:sz w:val="22"/>
                <w:szCs w:val="22"/>
                <w:lang w:val="en-US"/>
              </w:rPr>
              <w:lastRenderedPageBreak/>
              <w:t>advice, training, and technical guidance to KPA staff and Management.</w:t>
            </w:r>
          </w:p>
        </w:tc>
        <w:tc>
          <w:tcPr>
            <w:tcW w:w="1028" w:type="dxa"/>
            <w:vAlign w:val="center"/>
          </w:tcPr>
          <w:p w14:paraId="240875A4" w14:textId="7240A878" w:rsidR="006E17EC" w:rsidRPr="0086421F" w:rsidRDefault="00F524FD"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lastRenderedPageBreak/>
              <w:t>20</w:t>
            </w:r>
          </w:p>
        </w:tc>
      </w:tr>
      <w:tr w:rsidR="006E17EC" w:rsidRPr="0086421F" w14:paraId="59453870" w14:textId="77777777" w:rsidTr="004167C6">
        <w:trPr>
          <w:cantSplit/>
          <w:tblHeader/>
        </w:trPr>
        <w:tc>
          <w:tcPr>
            <w:tcW w:w="2263" w:type="dxa"/>
            <w:vAlign w:val="center"/>
          </w:tcPr>
          <w:p w14:paraId="57F1472D" w14:textId="6B901327" w:rsidR="006E17EC" w:rsidRPr="0086421F" w:rsidRDefault="002B57D3" w:rsidP="006E17EC">
            <w:pPr>
              <w:pStyle w:val="TableContents"/>
              <w:jc w:val="both"/>
              <w:rPr>
                <w:rFonts w:asciiTheme="minorHAnsi" w:hAnsiTheme="minorHAnsi"/>
                <w:sz w:val="22"/>
                <w:szCs w:val="22"/>
                <w:lang w:eastAsia="en-US"/>
              </w:rPr>
            </w:pPr>
            <w:r w:rsidRPr="002B57D3">
              <w:rPr>
                <w:rFonts w:asciiTheme="minorHAnsi" w:hAnsiTheme="minorHAnsi"/>
                <w:sz w:val="22"/>
                <w:szCs w:val="22"/>
                <w:lang w:val="en-US" w:eastAsia="en-US"/>
              </w:rPr>
              <w:t>Capacity building and knowledge transfer</w:t>
            </w:r>
          </w:p>
        </w:tc>
        <w:tc>
          <w:tcPr>
            <w:tcW w:w="6343" w:type="dxa"/>
          </w:tcPr>
          <w:p w14:paraId="64AB294C" w14:textId="77777777" w:rsidR="006E17EC" w:rsidRDefault="006E17EC" w:rsidP="00B97C5E">
            <w:pPr>
              <w:adjustRightInd w:val="0"/>
              <w:rPr>
                <w:rFonts w:asciiTheme="minorHAnsi" w:eastAsiaTheme="minorEastAsia" w:hAnsiTheme="minorHAnsi"/>
                <w:color w:val="000000"/>
                <w:sz w:val="22"/>
                <w:lang w:val="en-GB"/>
              </w:rPr>
            </w:pPr>
          </w:p>
          <w:p w14:paraId="375ED5B7" w14:textId="6D0F74FC" w:rsidR="00B97C5E" w:rsidRPr="0086421F" w:rsidRDefault="002B57D3" w:rsidP="00B97C5E">
            <w:pPr>
              <w:adjustRightInd w:val="0"/>
              <w:rPr>
                <w:rFonts w:asciiTheme="minorHAnsi" w:eastAsiaTheme="minorEastAsia" w:hAnsiTheme="minorHAnsi"/>
                <w:color w:val="000000"/>
                <w:sz w:val="22"/>
                <w:lang w:val="en-GB"/>
              </w:rPr>
            </w:pPr>
            <w:r w:rsidRPr="002B57D3">
              <w:rPr>
                <w:rFonts w:asciiTheme="minorHAnsi" w:eastAsiaTheme="minorEastAsia" w:hAnsiTheme="minorHAnsi"/>
                <w:color w:val="000000"/>
                <w:sz w:val="22"/>
              </w:rPr>
              <w:t xml:space="preserve">The Tenderer shall demonstrate a practical approach to building KPA’s internal capability, including: </w:t>
            </w:r>
            <w:r w:rsidRPr="002B57D3">
              <w:rPr>
                <w:rFonts w:asciiTheme="minorHAnsi" w:eastAsiaTheme="minorEastAsia" w:hAnsiTheme="minorHAnsi"/>
                <w:b/>
                <w:bCs/>
                <w:color w:val="000000"/>
                <w:sz w:val="22"/>
              </w:rPr>
              <w:t>(</w:t>
            </w:r>
            <w:proofErr w:type="spellStart"/>
            <w:r w:rsidRPr="002B57D3">
              <w:rPr>
                <w:rFonts w:asciiTheme="minorHAnsi" w:eastAsiaTheme="minorEastAsia" w:hAnsiTheme="minorHAnsi"/>
                <w:b/>
                <w:bCs/>
                <w:color w:val="000000"/>
                <w:sz w:val="22"/>
              </w:rPr>
              <w:t>i</w:t>
            </w:r>
            <w:proofErr w:type="spellEnd"/>
            <w:r w:rsidRPr="002B57D3">
              <w:rPr>
                <w:rFonts w:asciiTheme="minorHAnsi" w:eastAsiaTheme="minorEastAsia" w:hAnsiTheme="minorHAnsi"/>
                <w:b/>
                <w:bCs/>
                <w:color w:val="000000"/>
                <w:sz w:val="22"/>
              </w:rPr>
              <w:t>)</w:t>
            </w:r>
            <w:r w:rsidRPr="002B57D3">
              <w:rPr>
                <w:rFonts w:asciiTheme="minorHAnsi" w:eastAsiaTheme="minorEastAsia" w:hAnsiTheme="minorHAnsi"/>
                <w:color w:val="000000"/>
                <w:sz w:val="22"/>
              </w:rPr>
              <w:t xml:space="preserve"> delivery of IFRS awareness sessions and technical training for the Finance Team and relevant management staff; </w:t>
            </w:r>
            <w:r w:rsidRPr="002B57D3">
              <w:rPr>
                <w:rFonts w:asciiTheme="minorHAnsi" w:eastAsiaTheme="minorEastAsia" w:hAnsiTheme="minorHAnsi"/>
                <w:b/>
                <w:bCs/>
                <w:color w:val="000000"/>
                <w:sz w:val="22"/>
              </w:rPr>
              <w:t>(ii)</w:t>
            </w:r>
            <w:r w:rsidRPr="002B57D3">
              <w:rPr>
                <w:rFonts w:asciiTheme="minorHAnsi" w:eastAsiaTheme="minorEastAsia" w:hAnsiTheme="minorHAnsi"/>
                <w:color w:val="000000"/>
                <w:sz w:val="22"/>
              </w:rPr>
              <w:t xml:space="preserve"> structured on-the-job coaching during the transition process; </w:t>
            </w:r>
            <w:r w:rsidRPr="002B57D3">
              <w:rPr>
                <w:rFonts w:asciiTheme="minorHAnsi" w:eastAsiaTheme="minorEastAsia" w:hAnsiTheme="minorHAnsi"/>
                <w:b/>
                <w:bCs/>
                <w:color w:val="000000"/>
                <w:sz w:val="22"/>
              </w:rPr>
              <w:t>(iii)</w:t>
            </w:r>
            <w:r w:rsidRPr="002B57D3">
              <w:rPr>
                <w:rFonts w:asciiTheme="minorHAnsi" w:eastAsiaTheme="minorEastAsia" w:hAnsiTheme="minorHAnsi"/>
                <w:color w:val="000000"/>
                <w:sz w:val="22"/>
              </w:rPr>
              <w:t xml:space="preserve"> provision of templates, tools, checklists, and reference materials to support future IFRS compliance; </w:t>
            </w:r>
            <w:r w:rsidRPr="002B57D3">
              <w:rPr>
                <w:rFonts w:asciiTheme="minorHAnsi" w:eastAsiaTheme="minorEastAsia" w:hAnsiTheme="minorHAnsi"/>
                <w:b/>
                <w:bCs/>
                <w:color w:val="000000"/>
                <w:sz w:val="22"/>
              </w:rPr>
              <w:t>(iv)</w:t>
            </w:r>
            <w:r w:rsidRPr="002B57D3">
              <w:rPr>
                <w:rFonts w:asciiTheme="minorHAnsi" w:eastAsiaTheme="minorEastAsia" w:hAnsiTheme="minorHAnsi"/>
                <w:color w:val="000000"/>
                <w:sz w:val="22"/>
              </w:rPr>
              <w:t xml:space="preserve"> approach to embedding knowledge within KPA rather than relying solely on external reporting; and </w:t>
            </w:r>
            <w:r w:rsidRPr="002B57D3">
              <w:rPr>
                <w:rFonts w:asciiTheme="minorHAnsi" w:eastAsiaTheme="minorEastAsia" w:hAnsiTheme="minorHAnsi"/>
                <w:b/>
                <w:bCs/>
                <w:color w:val="000000"/>
                <w:sz w:val="22"/>
              </w:rPr>
              <w:t>(v)</w:t>
            </w:r>
            <w:r w:rsidRPr="002B57D3">
              <w:rPr>
                <w:rFonts w:asciiTheme="minorHAnsi" w:eastAsiaTheme="minorEastAsia" w:hAnsiTheme="minorHAnsi"/>
                <w:color w:val="000000"/>
                <w:sz w:val="22"/>
              </w:rPr>
              <w:t xml:space="preserve"> evidence that the proposed assignment will strengthen KPA’s long-term financial reporting capability beyond the completion of the consultancy.</w:t>
            </w:r>
          </w:p>
        </w:tc>
        <w:tc>
          <w:tcPr>
            <w:tcW w:w="1028" w:type="dxa"/>
            <w:vAlign w:val="center"/>
          </w:tcPr>
          <w:p w14:paraId="4C399CE7" w14:textId="36C98E90" w:rsidR="006E17EC" w:rsidRPr="0086421F" w:rsidRDefault="00F524FD"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15</w:t>
            </w:r>
          </w:p>
        </w:tc>
      </w:tr>
      <w:tr w:rsidR="003F659C" w:rsidRPr="00825285" w14:paraId="2B441781" w14:textId="77777777" w:rsidTr="004167C6">
        <w:trPr>
          <w:cantSplit/>
          <w:tblHeader/>
        </w:trPr>
        <w:tc>
          <w:tcPr>
            <w:tcW w:w="2263" w:type="dxa"/>
            <w:vAlign w:val="center"/>
          </w:tcPr>
          <w:p w14:paraId="3CD3E63A" w14:textId="48BC9FD9" w:rsidR="003F659C" w:rsidRPr="0086421F" w:rsidRDefault="00964773" w:rsidP="003F659C">
            <w:pPr>
              <w:pStyle w:val="TableContents"/>
              <w:jc w:val="both"/>
              <w:rPr>
                <w:rFonts w:asciiTheme="minorHAnsi" w:hAnsiTheme="minorHAnsi"/>
                <w:sz w:val="22"/>
                <w:szCs w:val="22"/>
                <w:lang w:eastAsia="en-US"/>
              </w:rPr>
            </w:pPr>
            <w:r w:rsidRPr="00964773">
              <w:rPr>
                <w:rFonts w:asciiTheme="minorHAnsi" w:hAnsiTheme="minorHAnsi"/>
                <w:sz w:val="22"/>
                <w:szCs w:val="22"/>
                <w:lang w:val="en-US" w:eastAsia="en-US"/>
              </w:rPr>
              <w:t>Understanding of KPA context and responsiveness to the Terms of Reference</w:t>
            </w:r>
          </w:p>
        </w:tc>
        <w:tc>
          <w:tcPr>
            <w:tcW w:w="6343" w:type="dxa"/>
          </w:tcPr>
          <w:p w14:paraId="283419CF" w14:textId="346123A1" w:rsidR="003F659C" w:rsidRPr="0086421F" w:rsidRDefault="00964773" w:rsidP="00964773">
            <w:pPr>
              <w:adjustRightInd w:val="0"/>
              <w:rPr>
                <w:rFonts w:asciiTheme="minorHAnsi" w:eastAsiaTheme="minorEastAsia" w:hAnsiTheme="minorHAnsi"/>
                <w:color w:val="000000"/>
                <w:sz w:val="22"/>
                <w:lang w:val="en-GB"/>
              </w:rPr>
            </w:pPr>
            <w:r w:rsidRPr="00964773">
              <w:rPr>
                <w:rFonts w:asciiTheme="minorHAnsi" w:eastAsiaTheme="minorEastAsia" w:hAnsiTheme="minorHAnsi"/>
                <w:color w:val="000000"/>
                <w:sz w:val="22"/>
              </w:rPr>
              <w:t xml:space="preserve">The Tenderer shall demonstrate: </w:t>
            </w:r>
            <w:r w:rsidRPr="00964773">
              <w:rPr>
                <w:rFonts w:asciiTheme="minorHAnsi" w:eastAsiaTheme="minorEastAsia" w:hAnsiTheme="minorHAnsi"/>
                <w:b/>
                <w:bCs/>
                <w:color w:val="000000"/>
                <w:sz w:val="22"/>
              </w:rPr>
              <w:t>(</w:t>
            </w:r>
            <w:proofErr w:type="spellStart"/>
            <w:r w:rsidRPr="00964773">
              <w:rPr>
                <w:rFonts w:asciiTheme="minorHAnsi" w:eastAsiaTheme="minorEastAsia" w:hAnsiTheme="minorHAnsi"/>
                <w:b/>
                <w:bCs/>
                <w:color w:val="000000"/>
                <w:sz w:val="22"/>
              </w:rPr>
              <w:t>i</w:t>
            </w:r>
            <w:proofErr w:type="spellEnd"/>
            <w:r w:rsidRPr="00964773">
              <w:rPr>
                <w:rFonts w:asciiTheme="minorHAnsi" w:eastAsiaTheme="minorEastAsia" w:hAnsiTheme="minorHAnsi"/>
                <w:b/>
                <w:bCs/>
                <w:color w:val="000000"/>
                <w:sz w:val="22"/>
              </w:rPr>
              <w:t>)</w:t>
            </w:r>
            <w:r w:rsidRPr="00964773">
              <w:rPr>
                <w:rFonts w:asciiTheme="minorHAnsi" w:eastAsiaTheme="minorEastAsia" w:hAnsiTheme="minorHAnsi"/>
                <w:color w:val="000000"/>
                <w:sz w:val="22"/>
              </w:rPr>
              <w:t xml:space="preserve"> a clear understanding of KPA’s operational environment as a state-owned port authority and the practical challenges of transitioning to IFRS; </w:t>
            </w:r>
            <w:r w:rsidRPr="00964773">
              <w:rPr>
                <w:rFonts w:asciiTheme="minorHAnsi" w:eastAsiaTheme="minorEastAsia" w:hAnsiTheme="minorHAnsi"/>
                <w:b/>
                <w:bCs/>
                <w:color w:val="000000"/>
                <w:sz w:val="22"/>
              </w:rPr>
              <w:t>(ii)</w:t>
            </w:r>
            <w:r w:rsidRPr="00964773">
              <w:rPr>
                <w:rFonts w:asciiTheme="minorHAnsi" w:eastAsiaTheme="minorEastAsia" w:hAnsiTheme="minorHAnsi"/>
                <w:color w:val="000000"/>
                <w:sz w:val="22"/>
              </w:rPr>
              <w:t xml:space="preserve"> responsiveness to all requirements of the Terms of Reference; </w:t>
            </w:r>
            <w:r w:rsidRPr="00964773">
              <w:rPr>
                <w:rFonts w:asciiTheme="minorHAnsi" w:eastAsiaTheme="minorEastAsia" w:hAnsiTheme="minorHAnsi"/>
                <w:b/>
                <w:bCs/>
                <w:color w:val="000000"/>
                <w:sz w:val="22"/>
              </w:rPr>
              <w:t>(iii)</w:t>
            </w:r>
            <w:r w:rsidRPr="00964773">
              <w:rPr>
                <w:rFonts w:asciiTheme="minorHAnsi" w:eastAsiaTheme="minorEastAsia" w:hAnsiTheme="minorHAnsi"/>
                <w:color w:val="000000"/>
                <w:sz w:val="22"/>
              </w:rPr>
              <w:t xml:space="preserve"> completeness and clarity of the proposal submitted; </w:t>
            </w:r>
            <w:r w:rsidRPr="00964773">
              <w:rPr>
                <w:rFonts w:asciiTheme="minorHAnsi" w:eastAsiaTheme="minorEastAsia" w:hAnsiTheme="minorHAnsi"/>
                <w:b/>
                <w:bCs/>
                <w:color w:val="000000"/>
                <w:sz w:val="22"/>
              </w:rPr>
              <w:t>(iv)</w:t>
            </w:r>
            <w:r w:rsidRPr="00964773">
              <w:rPr>
                <w:rFonts w:asciiTheme="minorHAnsi" w:eastAsiaTheme="minorEastAsia" w:hAnsiTheme="minorHAnsi"/>
                <w:color w:val="000000"/>
                <w:sz w:val="22"/>
              </w:rPr>
              <w:t xml:space="preserve"> understanding of governance, reporting, and approval arrangements required for the assignment, including coordination with KPA Management, Finance Team, Steering Committee, Board, and external auditors; </w:t>
            </w:r>
            <w:r w:rsidRPr="00964773">
              <w:rPr>
                <w:rFonts w:asciiTheme="minorHAnsi" w:eastAsiaTheme="minorEastAsia" w:hAnsiTheme="minorHAnsi"/>
                <w:b/>
                <w:bCs/>
                <w:color w:val="000000"/>
                <w:sz w:val="22"/>
              </w:rPr>
              <w:t>(v)</w:t>
            </w:r>
            <w:r w:rsidRPr="00964773">
              <w:rPr>
                <w:rFonts w:asciiTheme="minorHAnsi" w:eastAsiaTheme="minorEastAsia" w:hAnsiTheme="minorHAnsi"/>
                <w:color w:val="000000"/>
                <w:sz w:val="22"/>
              </w:rPr>
              <w:t xml:space="preserve"> appreciation of timing, document access, stakeholder consultation, and implementation dependencies; and </w:t>
            </w:r>
            <w:r w:rsidRPr="00964773">
              <w:rPr>
                <w:rFonts w:asciiTheme="minorHAnsi" w:eastAsiaTheme="minorEastAsia" w:hAnsiTheme="minorHAnsi"/>
                <w:b/>
                <w:bCs/>
                <w:color w:val="000000"/>
                <w:sz w:val="22"/>
              </w:rPr>
              <w:t>(vi)</w:t>
            </w:r>
            <w:r w:rsidRPr="00964773">
              <w:rPr>
                <w:rFonts w:asciiTheme="minorHAnsi" w:eastAsiaTheme="minorEastAsia" w:hAnsiTheme="minorHAnsi"/>
                <w:color w:val="000000"/>
                <w:sz w:val="22"/>
              </w:rPr>
              <w:t xml:space="preserve"> overall quality, professionalism, and relevance of the technical proposal.</w:t>
            </w:r>
          </w:p>
        </w:tc>
        <w:tc>
          <w:tcPr>
            <w:tcW w:w="1028" w:type="dxa"/>
            <w:vAlign w:val="center"/>
          </w:tcPr>
          <w:p w14:paraId="71CEF2C3" w14:textId="4CCBD666" w:rsidR="003F659C" w:rsidRPr="0086421F" w:rsidRDefault="00F524FD" w:rsidP="003F659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3849E8" w:rsidRPr="00825285" w14:paraId="465E49EB" w14:textId="77777777" w:rsidTr="004167C6">
        <w:trPr>
          <w:cantSplit/>
          <w:trHeight w:val="650"/>
          <w:tblHeader/>
        </w:trPr>
        <w:tc>
          <w:tcPr>
            <w:tcW w:w="8606" w:type="dxa"/>
            <w:gridSpan w:val="2"/>
            <w:vAlign w:val="center"/>
          </w:tcPr>
          <w:p w14:paraId="628B8019" w14:textId="0F85A49D" w:rsidR="003849E8" w:rsidRPr="00825285" w:rsidRDefault="003849E8" w:rsidP="006E17EC">
            <w:pPr>
              <w:pStyle w:val="TableContents"/>
              <w:jc w:val="both"/>
              <w:rPr>
                <w:rFonts w:cs="Calibri"/>
              </w:rPr>
            </w:pPr>
            <w:r w:rsidRPr="00825285">
              <w:rPr>
                <w:rFonts w:cs="Calibri"/>
                <w:b/>
              </w:rPr>
              <w:t>Total Possible Technical Score</w:t>
            </w:r>
          </w:p>
        </w:tc>
        <w:tc>
          <w:tcPr>
            <w:tcW w:w="1028" w:type="dxa"/>
            <w:vAlign w:val="center"/>
          </w:tcPr>
          <w:p w14:paraId="1CBE2A02" w14:textId="0EA949E8" w:rsidR="003849E8" w:rsidRPr="00825285" w:rsidRDefault="003849E8" w:rsidP="003849E8">
            <w:pPr>
              <w:pStyle w:val="TableContents"/>
              <w:jc w:val="center"/>
              <w:rPr>
                <w:rFonts w:cs="Calibri"/>
                <w:b/>
              </w:rPr>
            </w:pPr>
            <w:r w:rsidRPr="00825285">
              <w:rPr>
                <w:rFonts w:cs="Calibri"/>
                <w:b/>
              </w:rPr>
              <w:t>100</w:t>
            </w:r>
          </w:p>
        </w:tc>
      </w:tr>
    </w:tbl>
    <w:p w14:paraId="1AAB8D3E" w14:textId="19E2684E" w:rsidR="00251472" w:rsidRPr="00825285" w:rsidRDefault="00251472" w:rsidP="00251472">
      <w:pPr>
        <w:spacing w:before="120"/>
        <w:rPr>
          <w:rFonts w:ascii="Calibri" w:hAnsi="Calibri" w:cs="Calibri"/>
          <w:lang w:val="en-GB" w:eastAsia="ko-KR"/>
        </w:rPr>
      </w:pPr>
      <w:bookmarkStart w:id="9" w:name="_Hlk26879176"/>
      <w:r w:rsidRPr="00825285">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825285" w:rsidRPr="00825285">
        <w:rPr>
          <w:rFonts w:ascii="Calibri" w:hAnsi="Calibri" w:cs="Calibri"/>
          <w:lang w:val="en-GB" w:eastAsia="ko-KR"/>
        </w:rPr>
        <w:fldChar w:fldCharType="begin"/>
      </w:r>
      <w:r w:rsidR="00825285" w:rsidRPr="00825285">
        <w:rPr>
          <w:rFonts w:ascii="Calibri" w:hAnsi="Calibri" w:cs="Calibri"/>
          <w:lang w:val="en-GB" w:eastAsia="ko-KR"/>
        </w:rPr>
        <w:instrText xml:space="preserve"> REF Technical \h </w:instrText>
      </w:r>
      <w:r w:rsidR="00825285" w:rsidRPr="00825285">
        <w:rPr>
          <w:rFonts w:ascii="Calibri" w:hAnsi="Calibri" w:cs="Calibri"/>
          <w:lang w:val="en-GB" w:eastAsia="ko-KR"/>
        </w:rPr>
      </w:r>
      <w:r w:rsidR="00825285" w:rsidRPr="00825285">
        <w:rPr>
          <w:rFonts w:ascii="Calibri" w:hAnsi="Calibri" w:cs="Calibri"/>
          <w:lang w:val="en-GB" w:eastAsia="ko-KR"/>
        </w:rPr>
        <w:fldChar w:fldCharType="separate"/>
      </w:r>
      <w:r w:rsidR="00825285" w:rsidRPr="00825285">
        <w:rPr>
          <w:rFonts w:ascii="Calibri" w:hAnsi="Calibri" w:cs="Calibri"/>
          <w:highlight w:val="yellow"/>
          <w:lang w:val="en-GB"/>
        </w:rPr>
        <w:t>70</w:t>
      </w:r>
      <w:r w:rsidR="00825285" w:rsidRPr="00825285">
        <w:rPr>
          <w:rFonts w:ascii="Calibri" w:hAnsi="Calibri" w:cs="Calibri"/>
          <w:lang w:val="en-GB"/>
        </w:rPr>
        <w:t xml:space="preserve"> %</w:t>
      </w:r>
      <w:r w:rsidR="00825285" w:rsidRPr="00825285">
        <w:rPr>
          <w:rFonts w:ascii="Calibri" w:hAnsi="Calibri" w:cs="Calibri"/>
          <w:lang w:val="en-GB" w:eastAsia="ko-KR"/>
        </w:rPr>
        <w:fldChar w:fldCharType="end"/>
      </w:r>
      <w:r w:rsidRPr="00825285">
        <w:rPr>
          <w:rFonts w:ascii="Calibri" w:hAnsi="Calibri" w:cs="Calibri"/>
          <w:lang w:val="en-GB" w:eastAsia="ko-KR"/>
        </w:rPr>
        <w:t>, as defined above:</w:t>
      </w:r>
    </w:p>
    <w:p w14:paraId="425650C6" w14:textId="77777777" w:rsidR="00251472" w:rsidRPr="00825285" w:rsidRDefault="00251472" w:rsidP="00251472">
      <w:pPr>
        <w:spacing w:before="120"/>
        <w:ind w:left="709"/>
        <w:rPr>
          <w:i/>
          <w:iCs/>
          <w:lang w:val="en-GB"/>
        </w:rPr>
      </w:pPr>
      <w:bookmarkStart w:id="10" w:name="_Hlk26878408"/>
      <w:r w:rsidRPr="00825285">
        <w:rPr>
          <w:rFonts w:ascii="Calibri" w:hAnsi="Calibri" w:cs="Calibri"/>
          <w:i/>
          <w:iCs/>
          <w:lang w:val="en-GB" w:eastAsia="ko-KR"/>
        </w:rPr>
        <w:t xml:space="preserve">tv = </w:t>
      </w:r>
      <w:proofErr w:type="spellStart"/>
      <w:r w:rsidRPr="00825285">
        <w:rPr>
          <w:rFonts w:ascii="Calibri" w:hAnsi="Calibri" w:cs="Calibri"/>
          <w:i/>
          <w:iCs/>
          <w:lang w:val="en-GB" w:eastAsia="ko-KR"/>
        </w:rPr>
        <w:t>ts</w:t>
      </w:r>
      <w:proofErr w:type="spellEnd"/>
      <w:r w:rsidRPr="00825285">
        <w:rPr>
          <w:rFonts w:ascii="Calibri" w:hAnsi="Calibri" w:cs="Calibri"/>
          <w:i/>
          <w:iCs/>
          <w:lang w:val="en-GB" w:eastAsia="ko-KR"/>
        </w:rPr>
        <w:t xml:space="preserve"> * </w:t>
      </w:r>
      <w:proofErr w:type="spellStart"/>
      <w:r w:rsidRPr="00825285">
        <w:rPr>
          <w:rFonts w:ascii="Calibri" w:hAnsi="Calibri" w:cs="Calibri"/>
          <w:i/>
          <w:iCs/>
          <w:lang w:val="en-GB" w:eastAsia="ko-KR"/>
        </w:rPr>
        <w:t>tw</w:t>
      </w:r>
      <w:proofErr w:type="spellEnd"/>
      <w:r w:rsidRPr="00825285">
        <w:rPr>
          <w:rFonts w:ascii="Calibri" w:hAnsi="Calibri" w:cs="Calibri"/>
          <w:i/>
          <w:iCs/>
          <w:lang w:val="en-GB" w:eastAsia="ko-KR"/>
        </w:rPr>
        <w:t xml:space="preserve">, </w:t>
      </w:r>
      <w:r w:rsidRPr="00825285">
        <w:rPr>
          <w:i/>
          <w:iCs/>
          <w:u w:val="single"/>
          <w:lang w:val="en-GB"/>
        </w:rPr>
        <w:t>where</w:t>
      </w:r>
      <w:r w:rsidRPr="00825285">
        <w:rPr>
          <w:i/>
          <w:iCs/>
          <w:lang w:val="en-GB"/>
        </w:rPr>
        <w:t>:</w:t>
      </w:r>
    </w:p>
    <w:p w14:paraId="0465A030" w14:textId="77777777" w:rsidR="00251472" w:rsidRPr="00825285" w:rsidRDefault="00251472" w:rsidP="00251472">
      <w:pPr>
        <w:pStyle w:val="ListParagraph"/>
        <w:ind w:leftChars="0" w:left="2160"/>
        <w:rPr>
          <w:lang w:val="en-GB"/>
        </w:rPr>
      </w:pPr>
      <w:r w:rsidRPr="00825285">
        <w:rPr>
          <w:lang w:val="en-GB"/>
        </w:rPr>
        <w:t>tv = total technical value</w:t>
      </w:r>
    </w:p>
    <w:p w14:paraId="49BF0643" w14:textId="77777777" w:rsidR="00251472" w:rsidRPr="00825285" w:rsidRDefault="00251472" w:rsidP="00251472">
      <w:pPr>
        <w:pStyle w:val="ListParagraph"/>
        <w:ind w:leftChars="0" w:left="2160"/>
        <w:rPr>
          <w:lang w:val="en-GB"/>
        </w:rPr>
      </w:pPr>
      <w:proofErr w:type="spellStart"/>
      <w:r w:rsidRPr="00825285">
        <w:rPr>
          <w:lang w:val="en-GB"/>
        </w:rPr>
        <w:t>ts</w:t>
      </w:r>
      <w:proofErr w:type="spellEnd"/>
      <w:r w:rsidRPr="00825285">
        <w:rPr>
          <w:lang w:val="en-GB"/>
        </w:rPr>
        <w:t xml:space="preserve"> = technical result (technical score)</w:t>
      </w:r>
    </w:p>
    <w:p w14:paraId="4060145A" w14:textId="77777777" w:rsidR="00251472" w:rsidRPr="00825285" w:rsidRDefault="00251472" w:rsidP="00251472">
      <w:pPr>
        <w:pStyle w:val="ListParagraph"/>
        <w:ind w:leftChars="0" w:left="2160"/>
        <w:rPr>
          <w:lang w:val="en-GB"/>
        </w:rPr>
      </w:pPr>
      <w:proofErr w:type="spellStart"/>
      <w:r w:rsidRPr="00825285">
        <w:rPr>
          <w:lang w:val="en-GB"/>
        </w:rPr>
        <w:t>tw</w:t>
      </w:r>
      <w:proofErr w:type="spellEnd"/>
      <w:r w:rsidRPr="00825285">
        <w:rPr>
          <w:lang w:val="en-GB"/>
        </w:rPr>
        <w:t xml:space="preserve"> = technical weight in % (technical weight)</w:t>
      </w:r>
    </w:p>
    <w:bookmarkEnd w:id="10"/>
    <w:p w14:paraId="40F99CA2" w14:textId="77777777" w:rsidR="00251472" w:rsidRPr="00825285" w:rsidRDefault="00251472" w:rsidP="00251472">
      <w:pPr>
        <w:spacing w:before="120"/>
        <w:rPr>
          <w:rFonts w:ascii="Calibri" w:hAnsi="Calibri" w:cs="Calibri"/>
          <w:lang w:val="en-GB" w:eastAsia="ko-KR"/>
        </w:rPr>
      </w:pPr>
      <w:r w:rsidRPr="00825285">
        <w:rPr>
          <w:rFonts w:ascii="Calibri" w:hAnsi="Calibri" w:cs="Calibri"/>
          <w:lang w:val="en-GB" w:eastAsia="ko-KR"/>
        </w:rPr>
        <w:t>This is integrated in the final evaluation of technical and financial components, below.</w:t>
      </w:r>
    </w:p>
    <w:p w14:paraId="42FAC7D2" w14:textId="77777777" w:rsidR="00251472" w:rsidRPr="00825285" w:rsidRDefault="00251472" w:rsidP="00251472">
      <w:pPr>
        <w:pStyle w:val="Heading3"/>
        <w:rPr>
          <w:lang w:val="en-GB"/>
        </w:rPr>
      </w:pPr>
      <w:bookmarkStart w:id="11" w:name="_Toc374271007"/>
      <w:r w:rsidRPr="00825285">
        <w:rPr>
          <w:lang w:val="en-GB"/>
        </w:rPr>
        <w:t>Evaluation of financial components</w:t>
      </w:r>
      <w:bookmarkEnd w:id="11"/>
    </w:p>
    <w:p w14:paraId="29D09C61" w14:textId="1FBD91AA" w:rsidR="00251472" w:rsidRPr="00825285" w:rsidRDefault="00251472" w:rsidP="00251472">
      <w:pPr>
        <w:spacing w:after="240"/>
        <w:rPr>
          <w:rFonts w:ascii="Calibri" w:hAnsi="Calibri"/>
          <w:lang w:val="en-GB" w:eastAsia="ko-KR"/>
        </w:rPr>
      </w:pPr>
      <w:r w:rsidRPr="00825285">
        <w:rPr>
          <w:rFonts w:ascii="Calibri" w:hAnsi="Calibri"/>
          <w:lang w:val="en-GB"/>
        </w:rPr>
        <w:t xml:space="preserve">The total possible </w:t>
      </w:r>
      <w:r w:rsidRPr="00825285">
        <w:rPr>
          <w:rFonts w:ascii="Calibri" w:hAnsi="Calibri"/>
          <w:lang w:val="en-GB" w:eastAsia="ko-KR"/>
        </w:rPr>
        <w:t xml:space="preserve">score </w:t>
      </w:r>
      <w:r w:rsidRPr="00825285">
        <w:rPr>
          <w:rFonts w:ascii="Calibri" w:hAnsi="Calibri"/>
          <w:lang w:val="en-GB"/>
        </w:rPr>
        <w:t xml:space="preserve">for the financial component is </w:t>
      </w:r>
      <w:r w:rsidR="00825285" w:rsidRPr="00825285">
        <w:rPr>
          <w:rFonts w:ascii="Calibri" w:hAnsi="Calibri"/>
          <w:lang w:val="en-GB"/>
        </w:rPr>
        <w:fldChar w:fldCharType="begin"/>
      </w:r>
      <w:r w:rsidR="00825285" w:rsidRPr="00825285">
        <w:rPr>
          <w:rFonts w:ascii="Calibri" w:hAnsi="Calibri"/>
          <w:lang w:val="en-GB"/>
        </w:rPr>
        <w:instrText xml:space="preserve"> REF Financial \h </w:instrText>
      </w:r>
      <w:r w:rsidR="00825285" w:rsidRPr="00825285">
        <w:rPr>
          <w:rFonts w:ascii="Calibri" w:hAnsi="Calibri"/>
          <w:lang w:val="en-GB"/>
        </w:rPr>
      </w:r>
      <w:r w:rsidR="00825285" w:rsidRPr="00825285">
        <w:rPr>
          <w:rFonts w:ascii="Calibri" w:hAnsi="Calibri"/>
          <w:lang w:val="en-GB"/>
        </w:rPr>
        <w:fldChar w:fldCharType="separate"/>
      </w:r>
      <w:r w:rsidR="00825285" w:rsidRPr="00825285">
        <w:rPr>
          <w:rFonts w:ascii="Calibri" w:hAnsi="Calibri" w:cs="Calibri"/>
          <w:highlight w:val="yellow"/>
          <w:lang w:val="en-GB"/>
        </w:rPr>
        <w:t>30</w:t>
      </w:r>
      <w:r w:rsidR="00825285" w:rsidRPr="00825285">
        <w:rPr>
          <w:rFonts w:ascii="Calibri" w:hAnsi="Calibri" w:cs="Calibri"/>
          <w:lang w:val="en-GB"/>
        </w:rPr>
        <w:t xml:space="preserve"> points</w:t>
      </w:r>
      <w:r w:rsidR="00825285" w:rsidRPr="00825285">
        <w:rPr>
          <w:rFonts w:ascii="Calibri" w:hAnsi="Calibri"/>
          <w:lang w:val="en-GB"/>
        </w:rPr>
        <w:fldChar w:fldCharType="end"/>
      </w:r>
      <w:r w:rsidRPr="00825285">
        <w:rPr>
          <w:rFonts w:ascii="Calibri" w:hAnsi="Calibri"/>
          <w:lang w:val="en-GB"/>
        </w:rPr>
        <w:t>.</w:t>
      </w:r>
      <w:r w:rsidRPr="00825285">
        <w:rPr>
          <w:rFonts w:ascii="Calibri" w:hAnsi="Calibri"/>
          <w:lang w:val="en-GB" w:eastAsia="ko-KR"/>
        </w:rPr>
        <w:t xml:space="preserve"> </w:t>
      </w:r>
      <w:r w:rsidRPr="00825285">
        <w:rPr>
          <w:rFonts w:ascii="Calibri" w:hAnsi="Calibri"/>
          <w:lang w:val="en-GB"/>
        </w:rPr>
        <w:t xml:space="preserve">The maximum number of points assigned to </w:t>
      </w:r>
      <w:r w:rsidRPr="00825285">
        <w:rPr>
          <w:rFonts w:ascii="Calibri" w:hAnsi="Calibri"/>
          <w:lang w:val="en-GB" w:eastAsia="ko-KR"/>
        </w:rPr>
        <w:t>financial component</w:t>
      </w:r>
      <w:r w:rsidRPr="00825285">
        <w:rPr>
          <w:rFonts w:ascii="Calibri" w:hAnsi="Calibri"/>
          <w:lang w:val="en-GB"/>
        </w:rPr>
        <w:t xml:space="preserve"> shall be allocated to the lowest priced Tender. All other </w:t>
      </w:r>
      <w:r w:rsidRPr="00825285">
        <w:rPr>
          <w:rFonts w:ascii="Calibri" w:hAnsi="Calibri"/>
          <w:lang w:val="en-GB" w:eastAsia="ko-KR"/>
        </w:rPr>
        <w:t>financial</w:t>
      </w:r>
      <w:r w:rsidRPr="00825285">
        <w:rPr>
          <w:rFonts w:ascii="Calibri" w:hAnsi="Calibri"/>
          <w:lang w:val="en-GB"/>
        </w:rPr>
        <w:t xml:space="preserve"> Tenders shall receive points in inverse proportion according to the following formula:</w:t>
      </w:r>
    </w:p>
    <w:p w14:paraId="430C0DF4" w14:textId="77777777" w:rsidR="00251472" w:rsidRPr="00825285" w:rsidRDefault="00251472" w:rsidP="00251472">
      <w:pPr>
        <w:ind w:firstLine="720"/>
        <w:rPr>
          <w:rFonts w:ascii="Calibri" w:eastAsia="Times New Roman" w:hAnsi="Calibri"/>
          <w:i/>
          <w:iCs/>
          <w:kern w:val="2"/>
          <w:sz w:val="20"/>
          <w:szCs w:val="22"/>
          <w:u w:val="single"/>
          <w:lang w:val="en-GB" w:eastAsia="ko-KR"/>
        </w:rPr>
      </w:pPr>
      <w:r w:rsidRPr="00825285">
        <w:rPr>
          <w:rFonts w:ascii="Calibri" w:hAnsi="Calibri"/>
          <w:i/>
          <w:iCs/>
          <w:lang w:val="en-GB" w:eastAsia="ko-KR"/>
        </w:rPr>
        <w:t xml:space="preserve">p </w:t>
      </w:r>
      <w:r w:rsidRPr="00825285">
        <w:rPr>
          <w:rFonts w:ascii="Calibri" w:hAnsi="Calibri"/>
          <w:i/>
          <w:iCs/>
          <w:lang w:val="en-GB"/>
        </w:rPr>
        <w:t>= y * (</w:t>
      </w:r>
      <w:r w:rsidRPr="00825285">
        <w:rPr>
          <w:rFonts w:ascii="Calibri" w:hAnsi="Calibri"/>
          <w:i/>
          <w:iCs/>
          <w:lang w:val="en-GB" w:eastAsia="ko-KR"/>
        </w:rPr>
        <w:t xml:space="preserve">x </w:t>
      </w:r>
      <w:r w:rsidRPr="00825285">
        <w:rPr>
          <w:rFonts w:ascii="Calibri" w:hAnsi="Calibri"/>
          <w:i/>
          <w:iCs/>
          <w:lang w:val="en-GB"/>
        </w:rPr>
        <w:t>/ z</w:t>
      </w:r>
      <w:r w:rsidRPr="00825285">
        <w:rPr>
          <w:rFonts w:ascii="Calibri" w:eastAsia="Times New Roman" w:hAnsi="Calibri"/>
          <w:i/>
          <w:iCs/>
          <w:kern w:val="2"/>
          <w:sz w:val="20"/>
          <w:szCs w:val="22"/>
          <w:u w:val="single"/>
          <w:lang w:val="en-GB" w:eastAsia="ko-KR"/>
        </w:rPr>
        <w:t>), where:</w:t>
      </w:r>
    </w:p>
    <w:p w14:paraId="408025E1" w14:textId="77777777" w:rsidR="00251472" w:rsidRPr="00825285" w:rsidRDefault="00251472" w:rsidP="00251472">
      <w:pPr>
        <w:pStyle w:val="ListParagraph"/>
        <w:ind w:leftChars="0" w:left="2160"/>
        <w:rPr>
          <w:lang w:val="en-GB"/>
        </w:rPr>
      </w:pPr>
      <w:r w:rsidRPr="00825285">
        <w:rPr>
          <w:lang w:val="en-GB"/>
        </w:rPr>
        <w:t>p = points for the financial Tender being evaluated</w:t>
      </w:r>
    </w:p>
    <w:p w14:paraId="0F39F338" w14:textId="77777777" w:rsidR="00251472" w:rsidRPr="00825285" w:rsidRDefault="00251472" w:rsidP="00251472">
      <w:pPr>
        <w:pStyle w:val="ListParagraph"/>
        <w:ind w:leftChars="0" w:left="2160"/>
        <w:rPr>
          <w:lang w:val="en-GB"/>
        </w:rPr>
      </w:pPr>
      <w:r w:rsidRPr="00825285">
        <w:rPr>
          <w:lang w:val="en-GB"/>
        </w:rPr>
        <w:t>y = maximum number of points available for the financial Tender</w:t>
      </w:r>
    </w:p>
    <w:p w14:paraId="3D3473F3" w14:textId="77777777" w:rsidR="00251472" w:rsidRPr="00825285" w:rsidRDefault="00251472" w:rsidP="00251472">
      <w:pPr>
        <w:pStyle w:val="ListParagraph"/>
        <w:ind w:leftChars="0" w:left="2160"/>
        <w:rPr>
          <w:lang w:val="en-GB"/>
        </w:rPr>
      </w:pPr>
      <w:r w:rsidRPr="00825285">
        <w:rPr>
          <w:lang w:val="en-GB"/>
        </w:rPr>
        <w:t>x = price of the lowest priced Tender</w:t>
      </w:r>
    </w:p>
    <w:p w14:paraId="20510B7E" w14:textId="77777777" w:rsidR="00251472" w:rsidRPr="00825285" w:rsidRDefault="00251472" w:rsidP="00251472">
      <w:pPr>
        <w:pStyle w:val="ListParagraph"/>
        <w:ind w:leftChars="900" w:left="2160"/>
        <w:rPr>
          <w:lang w:val="en-GB"/>
        </w:rPr>
      </w:pPr>
      <w:r w:rsidRPr="00825285">
        <w:rPr>
          <w:lang w:val="en-GB"/>
        </w:rPr>
        <w:t>z = price of the Tender being evaluated</w:t>
      </w:r>
    </w:p>
    <w:p w14:paraId="6032AEEC" w14:textId="77777777" w:rsidR="00251472" w:rsidRPr="00825285" w:rsidRDefault="00251472" w:rsidP="00251472">
      <w:pPr>
        <w:spacing w:before="120"/>
        <w:rPr>
          <w:rFonts w:ascii="Calibri" w:hAnsi="Calibri" w:cs="Calibri"/>
          <w:lang w:val="en-GB" w:eastAsia="ko-KR"/>
        </w:rPr>
      </w:pPr>
      <w:r w:rsidRPr="00825285">
        <w:rPr>
          <w:rFonts w:ascii="Calibri" w:hAnsi="Calibri" w:cs="Calibri"/>
          <w:lang w:val="en-GB" w:eastAsia="ko-KR"/>
        </w:rPr>
        <w:t>This is integrated in the final evaluation of technical and financial components, below.</w:t>
      </w:r>
    </w:p>
    <w:p w14:paraId="136D7EE3" w14:textId="77777777" w:rsidR="00251472" w:rsidRPr="00825285" w:rsidRDefault="00251472" w:rsidP="00251472">
      <w:pPr>
        <w:pStyle w:val="Heading3"/>
        <w:rPr>
          <w:lang w:val="en-GB"/>
        </w:rPr>
      </w:pPr>
      <w:bookmarkStart w:id="12" w:name="_Toc374271008"/>
      <w:r w:rsidRPr="00825285">
        <w:rPr>
          <w:lang w:val="en-GB"/>
        </w:rPr>
        <w:lastRenderedPageBreak/>
        <w:t>Evaluation of technical and financial components for total scoring</w:t>
      </w:r>
      <w:bookmarkEnd w:id="12"/>
    </w:p>
    <w:p w14:paraId="6AA97433" w14:textId="77777777" w:rsidR="00251472" w:rsidRPr="00825285" w:rsidRDefault="00251472" w:rsidP="00251472">
      <w:pPr>
        <w:rPr>
          <w:rFonts w:ascii="Calibri" w:hAnsi="Calibri"/>
          <w:lang w:val="en-GB"/>
        </w:rPr>
      </w:pPr>
      <w:r w:rsidRPr="00825285">
        <w:rPr>
          <w:rFonts w:ascii="Calibri" w:hAnsi="Calibri"/>
          <w:lang w:val="en-GB"/>
        </w:rPr>
        <w:t xml:space="preserve">To determine which Tender that presents the best Value for Money, the score for the technical component is added to the </w:t>
      </w:r>
      <w:r w:rsidRPr="00825285">
        <w:rPr>
          <w:rFonts w:ascii="Calibri" w:hAnsi="Calibri"/>
          <w:lang w:val="en-GB" w:eastAsia="ko-KR"/>
        </w:rPr>
        <w:t xml:space="preserve">score </w:t>
      </w:r>
      <w:r w:rsidRPr="00825285">
        <w:rPr>
          <w:rFonts w:ascii="Calibri" w:hAnsi="Calibri"/>
          <w:lang w:val="en-GB"/>
        </w:rPr>
        <w:t>for the financial component. The totally highest score after this is the best Tender. The formula used for the complete and final evaluation is:</w:t>
      </w:r>
    </w:p>
    <w:p w14:paraId="01DBA90A" w14:textId="2CFF72B3" w:rsidR="00251472" w:rsidRPr="00825285" w:rsidRDefault="00251472" w:rsidP="00251472">
      <w:pPr>
        <w:spacing w:before="120"/>
        <w:ind w:left="709"/>
        <w:rPr>
          <w:rFonts w:ascii="Calibri" w:hAnsi="Calibri"/>
          <w:b/>
          <w:lang w:val="en-GB"/>
        </w:rPr>
      </w:pPr>
      <w:bookmarkStart w:id="13" w:name="_Hlk26878494"/>
      <w:r w:rsidRPr="00825285">
        <w:rPr>
          <w:rFonts w:ascii="Calibri" w:hAnsi="Calibri"/>
          <w:b/>
          <w:lang w:val="en-GB"/>
        </w:rPr>
        <w:t>E = (</w:t>
      </w:r>
      <w:proofErr w:type="spellStart"/>
      <w:r w:rsidRPr="00825285">
        <w:rPr>
          <w:rFonts w:ascii="Calibri" w:hAnsi="Calibri"/>
          <w:b/>
          <w:lang w:val="en-GB"/>
        </w:rPr>
        <w:t>ts</w:t>
      </w:r>
      <w:proofErr w:type="spellEnd"/>
      <w:r w:rsidRPr="00825285">
        <w:rPr>
          <w:rFonts w:ascii="Calibri" w:hAnsi="Calibri"/>
          <w:b/>
          <w:lang w:val="en-GB"/>
        </w:rPr>
        <w:t xml:space="preserve"> * </w:t>
      </w:r>
      <w:proofErr w:type="spellStart"/>
      <w:r w:rsidRPr="00825285">
        <w:rPr>
          <w:rFonts w:ascii="Calibri" w:hAnsi="Calibri"/>
          <w:b/>
          <w:lang w:val="en-GB"/>
        </w:rPr>
        <w:t>tw</w:t>
      </w:r>
      <w:proofErr w:type="spellEnd"/>
      <w:r w:rsidRPr="00825285">
        <w:rPr>
          <w:rFonts w:ascii="Calibri" w:hAnsi="Calibri"/>
          <w:b/>
          <w:lang w:val="en-GB"/>
        </w:rPr>
        <w:t>) + (</w:t>
      </w:r>
      <w:r w:rsidR="0023440E">
        <w:rPr>
          <w:rFonts w:ascii="Calibri" w:hAnsi="Calibri"/>
          <w:b/>
          <w:lang w:val="en-GB"/>
        </w:rPr>
        <w:t>(</w:t>
      </w:r>
      <w:r w:rsidR="0086421F">
        <w:rPr>
          <w:rFonts w:ascii="Calibri" w:hAnsi="Calibri"/>
          <w:b/>
          <w:lang w:val="en-GB"/>
        </w:rPr>
        <w:t>l</w:t>
      </w:r>
      <w:r w:rsidRPr="00825285">
        <w:rPr>
          <w:rFonts w:ascii="Calibri" w:hAnsi="Calibri"/>
          <w:b/>
          <w:lang w:val="en-GB"/>
        </w:rPr>
        <w:t xml:space="preserve">c / </w:t>
      </w:r>
      <w:proofErr w:type="spellStart"/>
      <w:r w:rsidR="0086421F">
        <w:rPr>
          <w:rFonts w:ascii="Calibri" w:hAnsi="Calibri"/>
          <w:b/>
          <w:lang w:val="en-GB"/>
        </w:rPr>
        <w:t>t</w:t>
      </w:r>
      <w:r w:rsidRPr="00825285">
        <w:rPr>
          <w:rFonts w:ascii="Calibri" w:hAnsi="Calibri"/>
          <w:b/>
          <w:lang w:val="en-GB"/>
        </w:rPr>
        <w:t>c</w:t>
      </w:r>
      <w:proofErr w:type="spellEnd"/>
      <w:r w:rsidR="0023440E">
        <w:rPr>
          <w:rFonts w:ascii="Calibri" w:hAnsi="Calibri"/>
          <w:b/>
          <w:lang w:val="en-GB"/>
        </w:rPr>
        <w:t xml:space="preserve">) * </w:t>
      </w:r>
      <w:proofErr w:type="spellStart"/>
      <w:r w:rsidR="0023440E">
        <w:rPr>
          <w:rFonts w:ascii="Calibri" w:hAnsi="Calibri"/>
          <w:b/>
          <w:lang w:val="en-GB"/>
        </w:rPr>
        <w:t>fw</w:t>
      </w:r>
      <w:proofErr w:type="spellEnd"/>
      <w:r w:rsidRPr="00825285">
        <w:rPr>
          <w:rFonts w:ascii="Calibri" w:hAnsi="Calibri"/>
          <w:b/>
          <w:lang w:val="en-GB"/>
        </w:rPr>
        <w:t>)</w:t>
      </w:r>
      <w:r w:rsidRPr="00825285">
        <w:rPr>
          <w:rFonts w:ascii="Calibri" w:hAnsi="Calibri"/>
          <w:lang w:val="en-GB"/>
        </w:rPr>
        <w:t>, where</w:t>
      </w:r>
    </w:p>
    <w:p w14:paraId="62F0964F" w14:textId="77777777" w:rsidR="00251472" w:rsidRPr="00825285" w:rsidRDefault="00251472" w:rsidP="00251472">
      <w:pPr>
        <w:spacing w:before="120"/>
        <w:ind w:left="1418"/>
        <w:rPr>
          <w:rFonts w:ascii="Calibri" w:hAnsi="Calibri"/>
          <w:sz w:val="20"/>
          <w:szCs w:val="20"/>
          <w:lang w:val="en-GB"/>
        </w:rPr>
      </w:pPr>
      <w:r w:rsidRPr="00825285">
        <w:rPr>
          <w:rFonts w:ascii="Calibri" w:hAnsi="Calibri"/>
          <w:sz w:val="20"/>
          <w:szCs w:val="20"/>
          <w:lang w:val="en-GB"/>
        </w:rPr>
        <w:t>E = evaluation result for the relevant Tender</w:t>
      </w:r>
    </w:p>
    <w:p w14:paraId="42C33EF3" w14:textId="77777777" w:rsidR="00251472" w:rsidRPr="00825285" w:rsidRDefault="00251472" w:rsidP="00251472">
      <w:pPr>
        <w:ind w:left="1701"/>
        <w:rPr>
          <w:rFonts w:ascii="Calibri" w:hAnsi="Calibri"/>
          <w:sz w:val="20"/>
          <w:szCs w:val="20"/>
          <w:lang w:val="en-GB"/>
        </w:rPr>
      </w:pPr>
      <w:bookmarkStart w:id="14" w:name="_Hlk26877853"/>
      <w:proofErr w:type="spellStart"/>
      <w:r w:rsidRPr="00825285">
        <w:rPr>
          <w:rFonts w:ascii="Calibri" w:hAnsi="Calibri"/>
          <w:sz w:val="20"/>
          <w:szCs w:val="20"/>
          <w:lang w:val="en-GB"/>
        </w:rPr>
        <w:t>ts</w:t>
      </w:r>
      <w:proofErr w:type="spellEnd"/>
      <w:r w:rsidRPr="00825285">
        <w:rPr>
          <w:rFonts w:ascii="Calibri" w:hAnsi="Calibri"/>
          <w:sz w:val="20"/>
          <w:szCs w:val="20"/>
          <w:lang w:val="en-GB"/>
        </w:rPr>
        <w:t xml:space="preserve"> = technical result (technical score)</w:t>
      </w:r>
    </w:p>
    <w:p w14:paraId="5752D07C" w14:textId="77777777" w:rsidR="00251472" w:rsidRPr="00825285" w:rsidRDefault="00251472" w:rsidP="00251472">
      <w:pPr>
        <w:ind w:left="1701"/>
        <w:rPr>
          <w:rFonts w:ascii="Calibri" w:hAnsi="Calibri"/>
          <w:sz w:val="20"/>
          <w:szCs w:val="20"/>
          <w:lang w:val="en-GB"/>
        </w:rPr>
      </w:pPr>
      <w:proofErr w:type="spellStart"/>
      <w:r w:rsidRPr="00825285">
        <w:rPr>
          <w:rFonts w:ascii="Calibri" w:hAnsi="Calibri"/>
          <w:sz w:val="20"/>
          <w:szCs w:val="20"/>
          <w:lang w:val="en-GB"/>
        </w:rPr>
        <w:t>tw</w:t>
      </w:r>
      <w:proofErr w:type="spellEnd"/>
      <w:r w:rsidRPr="00825285">
        <w:rPr>
          <w:rFonts w:ascii="Calibri" w:hAnsi="Calibri"/>
          <w:sz w:val="20"/>
          <w:szCs w:val="20"/>
          <w:lang w:val="en-GB"/>
        </w:rPr>
        <w:t xml:space="preserve"> = technical weight in % (technical weight)</w:t>
      </w:r>
    </w:p>
    <w:bookmarkEnd w:id="14"/>
    <w:p w14:paraId="1F150794" w14:textId="77777777" w:rsidR="00251472" w:rsidRPr="00825285" w:rsidRDefault="00251472" w:rsidP="00251472">
      <w:pPr>
        <w:ind w:left="1701"/>
        <w:rPr>
          <w:rFonts w:ascii="Calibri" w:hAnsi="Calibri"/>
          <w:sz w:val="20"/>
          <w:szCs w:val="20"/>
          <w:lang w:val="en-GB"/>
        </w:rPr>
      </w:pPr>
      <w:r w:rsidRPr="00825285">
        <w:rPr>
          <w:rFonts w:ascii="Calibri" w:hAnsi="Calibri"/>
          <w:sz w:val="20"/>
          <w:szCs w:val="20"/>
          <w:lang w:val="en-GB"/>
        </w:rPr>
        <w:t>lc = cost of the lowest financial Tender (lowest cost)</w:t>
      </w:r>
    </w:p>
    <w:p w14:paraId="7E35EE0C" w14:textId="048D9FC3" w:rsidR="00365432" w:rsidRDefault="00251472" w:rsidP="00251472">
      <w:pPr>
        <w:ind w:left="1701"/>
        <w:rPr>
          <w:rFonts w:ascii="Calibri" w:hAnsi="Calibri"/>
          <w:sz w:val="20"/>
          <w:szCs w:val="20"/>
          <w:lang w:val="en-GB"/>
        </w:rPr>
      </w:pPr>
      <w:proofErr w:type="spellStart"/>
      <w:r w:rsidRPr="00825285">
        <w:rPr>
          <w:rFonts w:ascii="Calibri" w:hAnsi="Calibri"/>
          <w:sz w:val="20"/>
          <w:szCs w:val="20"/>
          <w:lang w:val="en-GB"/>
        </w:rPr>
        <w:t>tc</w:t>
      </w:r>
      <w:proofErr w:type="spellEnd"/>
      <w:r w:rsidRPr="00825285">
        <w:rPr>
          <w:rFonts w:ascii="Calibri" w:hAnsi="Calibri"/>
          <w:sz w:val="20"/>
          <w:szCs w:val="20"/>
          <w:lang w:val="en-GB"/>
        </w:rPr>
        <w:t xml:space="preserve"> = cost of the Tender being evaluated (tender cost)</w:t>
      </w:r>
      <w:bookmarkEnd w:id="9"/>
      <w:bookmarkEnd w:id="13"/>
    </w:p>
    <w:p w14:paraId="4836AFC4" w14:textId="67EAF2E9" w:rsidR="0023440E" w:rsidRPr="00825285" w:rsidRDefault="0023440E" w:rsidP="00251472">
      <w:pPr>
        <w:ind w:left="1701"/>
        <w:rPr>
          <w:rFonts w:ascii="Calibri" w:hAnsi="Calibri"/>
          <w:sz w:val="20"/>
          <w:szCs w:val="20"/>
          <w:lang w:val="en-GB"/>
        </w:rPr>
      </w:pPr>
      <w:proofErr w:type="spellStart"/>
      <w:r>
        <w:rPr>
          <w:rFonts w:ascii="Calibri" w:hAnsi="Calibri"/>
          <w:sz w:val="20"/>
          <w:szCs w:val="20"/>
          <w:lang w:val="en-GB"/>
        </w:rPr>
        <w:t>fw</w:t>
      </w:r>
      <w:proofErr w:type="spellEnd"/>
      <w:r>
        <w:rPr>
          <w:rFonts w:ascii="Calibri" w:hAnsi="Calibri"/>
          <w:sz w:val="20"/>
          <w:szCs w:val="20"/>
          <w:lang w:val="en-GB"/>
        </w:rPr>
        <w:t xml:space="preserve"> = financial weight</w:t>
      </w:r>
    </w:p>
    <w:p w14:paraId="5AD1F334" w14:textId="77777777" w:rsidR="00184DBC" w:rsidRPr="00825285" w:rsidRDefault="00184DBC" w:rsidP="00184DBC">
      <w:pPr>
        <w:pStyle w:val="Heading3"/>
        <w:rPr>
          <w:lang w:val="en-GB"/>
        </w:rPr>
      </w:pPr>
      <w:r w:rsidRPr="00825285">
        <w:rPr>
          <w:lang w:val="en-GB"/>
        </w:rPr>
        <w:t>Equal scoring result</w:t>
      </w:r>
    </w:p>
    <w:p w14:paraId="436BFE16" w14:textId="77777777" w:rsidR="00184DBC" w:rsidRPr="00825285" w:rsidRDefault="00184DBC" w:rsidP="00184DBC">
      <w:pPr>
        <w:spacing w:before="120"/>
        <w:jc w:val="both"/>
        <w:rPr>
          <w:rFonts w:ascii="Calibri" w:hAnsi="Calibri" w:cs="Calibri"/>
          <w:lang w:val="en-GB"/>
        </w:rPr>
      </w:pPr>
      <w:r w:rsidRPr="00825285">
        <w:rPr>
          <w:rFonts w:ascii="Calibri" w:hAnsi="Calibri" w:cs="Calibri"/>
          <w:lang w:val="en-GB"/>
        </w:rPr>
        <w:t>In the case of equal results of the total scoring between two or more Tenders, the following shall apply:</w:t>
      </w:r>
    </w:p>
    <w:p w14:paraId="20FF76EC" w14:textId="77777777" w:rsidR="00184DBC" w:rsidRPr="00825285" w:rsidRDefault="00184DBC" w:rsidP="00184DBC">
      <w:pPr>
        <w:pStyle w:val="ListParagraph"/>
        <w:numPr>
          <w:ilvl w:val="0"/>
          <w:numId w:val="8"/>
        </w:numPr>
        <w:spacing w:before="120"/>
        <w:ind w:leftChars="0"/>
        <w:rPr>
          <w:rFonts w:cs="Calibri"/>
          <w:lang w:val="en-GB"/>
        </w:rPr>
      </w:pPr>
      <w:r w:rsidRPr="00825285">
        <w:rPr>
          <w:lang w:val="en-GB"/>
        </w:rPr>
        <w:t>The highest technical score is awarded the Contract</w:t>
      </w:r>
    </w:p>
    <w:p w14:paraId="038208EA" w14:textId="77777777" w:rsidR="00184DBC" w:rsidRPr="00825285" w:rsidRDefault="00184DBC" w:rsidP="00184DBC">
      <w:pPr>
        <w:pStyle w:val="ListParagraph"/>
        <w:numPr>
          <w:ilvl w:val="0"/>
          <w:numId w:val="8"/>
        </w:numPr>
        <w:spacing w:before="120"/>
        <w:ind w:leftChars="0"/>
        <w:rPr>
          <w:rFonts w:cs="Calibri"/>
          <w:lang w:val="en-GB"/>
        </w:rPr>
      </w:pPr>
      <w:r w:rsidRPr="00825285">
        <w:rPr>
          <w:lang w:val="en-GB"/>
        </w:rPr>
        <w:t>If still equal, the equally scored Tenderers will be invited to submit a ‘Best and Final Tender’ on the financial component</w:t>
      </w:r>
    </w:p>
    <w:p w14:paraId="2E9CAFEF" w14:textId="77777777" w:rsidR="00184DBC" w:rsidRPr="00825285" w:rsidRDefault="00184DBC" w:rsidP="00184DBC">
      <w:pPr>
        <w:pStyle w:val="ListParagraph"/>
        <w:numPr>
          <w:ilvl w:val="0"/>
          <w:numId w:val="8"/>
        </w:numPr>
        <w:spacing w:before="120"/>
        <w:ind w:leftChars="0"/>
        <w:rPr>
          <w:rFonts w:cs="Calibri"/>
          <w:lang w:val="en-GB"/>
        </w:rPr>
      </w:pPr>
      <w:r w:rsidRPr="00825285">
        <w:rPr>
          <w:lang w:val="en-GB"/>
        </w:rPr>
        <w:t>Should the above, very exceptionally, not result in determining the best value for money, the award of a Contract will be decided by drawing of lots</w:t>
      </w:r>
    </w:p>
    <w:p w14:paraId="4042B977" w14:textId="77777777" w:rsidR="00184DBC" w:rsidRPr="00825285" w:rsidRDefault="00184DBC" w:rsidP="00184DBC">
      <w:pPr>
        <w:spacing w:before="120"/>
        <w:jc w:val="both"/>
        <w:rPr>
          <w:rFonts w:ascii="Calibri" w:hAnsi="Calibri" w:cs="Calibri"/>
          <w:lang w:val="en-GB"/>
        </w:rPr>
      </w:pPr>
    </w:p>
    <w:sectPr w:rsidR="00184DBC" w:rsidRPr="00825285" w:rsidSect="00825285">
      <w:headerReference w:type="default" r:id="rId11"/>
      <w:footerReference w:type="default" r:id="rId12"/>
      <w:headerReference w:type="first" r:id="rId13"/>
      <w:type w:val="oddPage"/>
      <w:pgSz w:w="11907" w:h="16839" w:code="9"/>
      <w:pgMar w:top="993" w:right="1152" w:bottom="1080" w:left="1152" w:header="284"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82005" w14:textId="77777777" w:rsidR="00317F93" w:rsidRDefault="00317F93">
      <w:r>
        <w:separator/>
      </w:r>
    </w:p>
  </w:endnote>
  <w:endnote w:type="continuationSeparator" w:id="0">
    <w:p w14:paraId="79B88D32" w14:textId="77777777" w:rsidR="00317F93" w:rsidRDefault="00317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3303C937" w:rsidR="00D15CF2" w:rsidRDefault="004878F3" w:rsidP="004878F3">
    <w:pPr>
      <w:pStyle w:val="Footer"/>
    </w:pPr>
    <w:r>
      <w:fldChar w:fldCharType="begin"/>
    </w:r>
    <w:r>
      <w:instrText xml:space="preserve"> DATE \@ "yyyy-MM-dd" </w:instrText>
    </w:r>
    <w:r>
      <w:fldChar w:fldCharType="separate"/>
    </w:r>
    <w:r w:rsidR="00524453">
      <w:rPr>
        <w:noProof/>
      </w:rPr>
      <w:t>2026-03-18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DBB66" w14:textId="77777777" w:rsidR="00317F93" w:rsidRDefault="00317F93">
      <w:r>
        <w:separator/>
      </w:r>
    </w:p>
  </w:footnote>
  <w:footnote w:type="continuationSeparator" w:id="0">
    <w:p w14:paraId="52A4EB78" w14:textId="77777777" w:rsidR="00317F93" w:rsidRDefault="00317F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41FFEB24" w:rsidR="00D15CF2" w:rsidRPr="00AE2575" w:rsidRDefault="00D15CF2" w:rsidP="004000A0">
    <w:pPr>
      <w:pStyle w:val="Header"/>
      <w:tabs>
        <w:tab w:val="clear" w:pos="4320"/>
        <w:tab w:val="clear" w:pos="8640"/>
        <w:tab w:val="center" w:pos="4820"/>
        <w:tab w:val="right" w:pos="9603"/>
      </w:tabs>
      <w:rPr>
        <w:rFonts w:asciiTheme="minorHAnsi" w:hAnsiTheme="minorHAnsi" w:cstheme="minorHAnsi"/>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5D669" w14:textId="3416BCD0" w:rsidR="00D15CF2" w:rsidRPr="00825285" w:rsidRDefault="00825285" w:rsidP="00825285">
    <w:pPr>
      <w:pStyle w:val="Header"/>
      <w:tabs>
        <w:tab w:val="clear" w:pos="4320"/>
        <w:tab w:val="clear" w:pos="8640"/>
        <w:tab w:val="center" w:pos="4820"/>
        <w:tab w:val="right" w:pos="9603"/>
      </w:tabs>
      <w:rPr>
        <w:rFonts w:asciiTheme="minorHAnsi" w:hAnsiTheme="minorHAnsi" w:cstheme="minorHAnsi"/>
        <w:szCs w:val="24"/>
      </w:rPr>
    </w:pPr>
    <w:r>
      <w:rPr>
        <w:rFonts w:asciiTheme="minorHAnsi" w:hAnsiTheme="minorHAnsi" w:cs="Calibri"/>
        <w:sz w:val="20"/>
      </w:rPr>
      <w:tab/>
    </w:r>
    <w:r w:rsidRPr="008F4C08">
      <w:rPr>
        <w:noProof/>
      </w:rPr>
      <w:drawing>
        <wp:inline distT="0" distB="0" distL="0" distR="0" wp14:anchorId="24508181" wp14:editId="3F84E6B0">
          <wp:extent cx="590550" cy="646131"/>
          <wp:effectExtent l="0" t="0" r="0" b="1905"/>
          <wp:docPr id="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882403484">
    <w:abstractNumId w:val="2"/>
  </w:num>
  <w:num w:numId="2" w16cid:durableId="2040738415">
    <w:abstractNumId w:val="7"/>
  </w:num>
  <w:num w:numId="3" w16cid:durableId="616571421">
    <w:abstractNumId w:val="6"/>
  </w:num>
  <w:num w:numId="4" w16cid:durableId="1804500350">
    <w:abstractNumId w:val="5"/>
  </w:num>
  <w:num w:numId="5" w16cid:durableId="408429479">
    <w:abstractNumId w:val="0"/>
  </w:num>
  <w:num w:numId="6" w16cid:durableId="1205558611">
    <w:abstractNumId w:val="4"/>
  </w:num>
  <w:num w:numId="7" w16cid:durableId="541291702">
    <w:abstractNumId w:val="1"/>
  </w:num>
  <w:num w:numId="8" w16cid:durableId="31853340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820"/>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3AA5"/>
    <w:rsid w:val="000A4C62"/>
    <w:rsid w:val="000A5296"/>
    <w:rsid w:val="000A7C73"/>
    <w:rsid w:val="000B0B90"/>
    <w:rsid w:val="000B1C2E"/>
    <w:rsid w:val="000B2C80"/>
    <w:rsid w:val="000B4497"/>
    <w:rsid w:val="000B62F3"/>
    <w:rsid w:val="000C1387"/>
    <w:rsid w:val="000C1667"/>
    <w:rsid w:val="000C275C"/>
    <w:rsid w:val="000C32E0"/>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88A"/>
    <w:rsid w:val="00181997"/>
    <w:rsid w:val="001825A2"/>
    <w:rsid w:val="00182816"/>
    <w:rsid w:val="001843EB"/>
    <w:rsid w:val="00184DBC"/>
    <w:rsid w:val="00186DD4"/>
    <w:rsid w:val="00190CB6"/>
    <w:rsid w:val="00191300"/>
    <w:rsid w:val="0019215F"/>
    <w:rsid w:val="001922EC"/>
    <w:rsid w:val="001943BC"/>
    <w:rsid w:val="001949C3"/>
    <w:rsid w:val="00195627"/>
    <w:rsid w:val="00196150"/>
    <w:rsid w:val="00196879"/>
    <w:rsid w:val="00196A90"/>
    <w:rsid w:val="0019731E"/>
    <w:rsid w:val="001A10C5"/>
    <w:rsid w:val="001B10ED"/>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D7183"/>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40E"/>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472"/>
    <w:rsid w:val="00251C8A"/>
    <w:rsid w:val="00252B07"/>
    <w:rsid w:val="00252F49"/>
    <w:rsid w:val="00255751"/>
    <w:rsid w:val="00255B8B"/>
    <w:rsid w:val="0025765E"/>
    <w:rsid w:val="00260064"/>
    <w:rsid w:val="00260C61"/>
    <w:rsid w:val="00262EF1"/>
    <w:rsid w:val="002642E5"/>
    <w:rsid w:val="00264C2E"/>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7D3"/>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17F93"/>
    <w:rsid w:val="00320285"/>
    <w:rsid w:val="0032183A"/>
    <w:rsid w:val="00322CB3"/>
    <w:rsid w:val="00323351"/>
    <w:rsid w:val="00323ED9"/>
    <w:rsid w:val="00324B17"/>
    <w:rsid w:val="003271A0"/>
    <w:rsid w:val="00330672"/>
    <w:rsid w:val="00331FA4"/>
    <w:rsid w:val="00332F39"/>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1449"/>
    <w:rsid w:val="0036348D"/>
    <w:rsid w:val="0036480C"/>
    <w:rsid w:val="00365432"/>
    <w:rsid w:val="00366238"/>
    <w:rsid w:val="00366603"/>
    <w:rsid w:val="00367422"/>
    <w:rsid w:val="003716E9"/>
    <w:rsid w:val="00372246"/>
    <w:rsid w:val="00372C19"/>
    <w:rsid w:val="0037393B"/>
    <w:rsid w:val="00373BC7"/>
    <w:rsid w:val="003746F7"/>
    <w:rsid w:val="003757C2"/>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C7C6D"/>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59C"/>
    <w:rsid w:val="003F690C"/>
    <w:rsid w:val="003F73BB"/>
    <w:rsid w:val="003F7E3B"/>
    <w:rsid w:val="004000A0"/>
    <w:rsid w:val="004001C1"/>
    <w:rsid w:val="00404488"/>
    <w:rsid w:val="00405E18"/>
    <w:rsid w:val="00405E93"/>
    <w:rsid w:val="004062F8"/>
    <w:rsid w:val="00411253"/>
    <w:rsid w:val="004130D1"/>
    <w:rsid w:val="00414FA6"/>
    <w:rsid w:val="0041563F"/>
    <w:rsid w:val="004167C6"/>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77B"/>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453"/>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26D8"/>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3E3D"/>
    <w:rsid w:val="005B4390"/>
    <w:rsid w:val="005B4C15"/>
    <w:rsid w:val="005B561F"/>
    <w:rsid w:val="005B6577"/>
    <w:rsid w:val="005B682D"/>
    <w:rsid w:val="005B6BC6"/>
    <w:rsid w:val="005B72FB"/>
    <w:rsid w:val="005B79E4"/>
    <w:rsid w:val="005B7A5D"/>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0A73"/>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9C3"/>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74B"/>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18D2"/>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21C"/>
    <w:rsid w:val="00800ED9"/>
    <w:rsid w:val="00802103"/>
    <w:rsid w:val="00804B54"/>
    <w:rsid w:val="00804C0B"/>
    <w:rsid w:val="0080516D"/>
    <w:rsid w:val="0080726D"/>
    <w:rsid w:val="00807DD1"/>
    <w:rsid w:val="00810B2B"/>
    <w:rsid w:val="00811F27"/>
    <w:rsid w:val="008139DE"/>
    <w:rsid w:val="00813BDC"/>
    <w:rsid w:val="00815890"/>
    <w:rsid w:val="00815A72"/>
    <w:rsid w:val="00815B95"/>
    <w:rsid w:val="00815BB5"/>
    <w:rsid w:val="0082137D"/>
    <w:rsid w:val="00825285"/>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1F"/>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4E4"/>
    <w:rsid w:val="008C7C5F"/>
    <w:rsid w:val="008D0F39"/>
    <w:rsid w:val="008D18F2"/>
    <w:rsid w:val="008D2B92"/>
    <w:rsid w:val="008D52D8"/>
    <w:rsid w:val="008E063F"/>
    <w:rsid w:val="008E092B"/>
    <w:rsid w:val="008E2BE1"/>
    <w:rsid w:val="008E388C"/>
    <w:rsid w:val="008E3AEA"/>
    <w:rsid w:val="008E429D"/>
    <w:rsid w:val="008E5217"/>
    <w:rsid w:val="008E76AE"/>
    <w:rsid w:val="008E7B74"/>
    <w:rsid w:val="008F07EA"/>
    <w:rsid w:val="008F0908"/>
    <w:rsid w:val="008F244E"/>
    <w:rsid w:val="008F3345"/>
    <w:rsid w:val="008F3CEE"/>
    <w:rsid w:val="008F4A5F"/>
    <w:rsid w:val="008F4B77"/>
    <w:rsid w:val="008F4C7E"/>
    <w:rsid w:val="008F6042"/>
    <w:rsid w:val="008F61D6"/>
    <w:rsid w:val="008F69DC"/>
    <w:rsid w:val="008F6BE5"/>
    <w:rsid w:val="008F78D8"/>
    <w:rsid w:val="00901608"/>
    <w:rsid w:val="00901AE8"/>
    <w:rsid w:val="009024E8"/>
    <w:rsid w:val="009025FA"/>
    <w:rsid w:val="00902A72"/>
    <w:rsid w:val="00902D72"/>
    <w:rsid w:val="00903003"/>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773"/>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1485"/>
    <w:rsid w:val="009E278C"/>
    <w:rsid w:val="009E4037"/>
    <w:rsid w:val="009E696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2BC8"/>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9F8"/>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257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3D37"/>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E0"/>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97C5E"/>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D8"/>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5E5A"/>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0DD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870AB"/>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66B3"/>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4F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184DBC"/>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6C4304-CDF5-42DD-A447-D4584C5E2924}">
  <ds:schemaRefs>
    <ds:schemaRef ds:uri="http://schemas.openxmlformats.org/officeDocument/2006/bibliography"/>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3A6007-3257-4693-8AC2-717931677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37</TotalTime>
  <Pages>6</Pages>
  <Words>1545</Words>
  <Characters>7927</Characters>
  <Application>Microsoft Office Word</Application>
  <DocSecurity>0</DocSecurity>
  <Lines>193</Lines>
  <Paragraphs>126</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9346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Kataraiti Koraing</cp:lastModifiedBy>
  <cp:revision>16</cp:revision>
  <cp:lastPrinted>2016-10-18T02:57:00Z</cp:lastPrinted>
  <dcterms:created xsi:type="dcterms:W3CDTF">2020-08-26T13:46:00Z</dcterms:created>
  <dcterms:modified xsi:type="dcterms:W3CDTF">2026-03-18T05:44:00Z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